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6768C">
      <w:pPr>
        <w:jc w:val="center"/>
        <w:rPr>
          <w:rFonts w:hint="eastAsia"/>
        </w:rPr>
      </w:pPr>
      <w:bookmarkStart w:id="0" w:name="_GoBack"/>
      <w:bookmarkEnd w:id="0"/>
      <w:r>
        <w:rPr>
          <w:rFonts w:hint="eastAsia"/>
        </w:rPr>
        <w:t>RENOFARM荣昌共识：加快行动和扩展解决方案，减少抗微生物药物需求，助力可持续农食体系转型</w:t>
      </w:r>
    </w:p>
    <w:p w14:paraId="68FCB7E7">
      <w:pPr>
        <w:rPr>
          <w:rFonts w:hint="eastAsia"/>
        </w:rPr>
      </w:pPr>
    </w:p>
    <w:p w14:paraId="1F8F2E47">
      <w:pPr>
        <w:jc w:val="center"/>
        <w:rPr>
          <w:rFonts w:hint="eastAsia"/>
        </w:rPr>
      </w:pPr>
      <w:r>
        <w:rPr>
          <w:rFonts w:hint="eastAsia"/>
        </w:rPr>
        <w:t>中国重庆荣昌</w:t>
      </w:r>
    </w:p>
    <w:p w14:paraId="4AE44DD4">
      <w:pPr>
        <w:jc w:val="center"/>
        <w:rPr>
          <w:rFonts w:hint="eastAsia"/>
        </w:rPr>
      </w:pPr>
      <w:r>
        <w:rPr>
          <w:rFonts w:hint="eastAsia"/>
        </w:rPr>
        <w:t>2026年4月28-29日</w:t>
      </w:r>
    </w:p>
    <w:p w14:paraId="37086DCF">
      <w:pPr>
        <w:rPr>
          <w:rFonts w:hint="eastAsia"/>
        </w:rPr>
      </w:pPr>
    </w:p>
    <w:p w14:paraId="6C65E79C">
      <w:pPr>
        <w:rPr>
          <w:rFonts w:hint="eastAsia"/>
        </w:rPr>
      </w:pPr>
      <w:r>
        <w:rPr>
          <w:rFonts w:hint="eastAsia"/>
        </w:rPr>
        <w:t>我们作为2026年4月28日至29日在重庆荣昌召开的第二届国际研讨会的与会者：</w:t>
      </w:r>
    </w:p>
    <w:p w14:paraId="53B4CAA9">
      <w:pPr>
        <w:rPr>
          <w:rFonts w:hint="eastAsia"/>
        </w:rPr>
      </w:pPr>
    </w:p>
    <w:p w14:paraId="5E3EEA34">
      <w:pPr>
        <w:rPr>
          <w:rFonts w:hint="eastAsia"/>
        </w:rPr>
      </w:pPr>
      <w:r>
        <w:rPr>
          <w:rFonts w:hint="eastAsia"/>
        </w:rPr>
        <w:t>认识到抗微生物药物耐药性（AMR）是一个日益严重的全球健康与发展挑战，威胁着全球人类和动物的健康与福祉、粮食安全、食品安全与营养、生产力、生计及环境；</w:t>
      </w:r>
    </w:p>
    <w:p w14:paraId="1BD97571">
      <w:pPr>
        <w:rPr>
          <w:rFonts w:hint="eastAsia"/>
        </w:rPr>
      </w:pPr>
    </w:p>
    <w:p w14:paraId="343978BF">
      <w:pPr>
        <w:rPr>
          <w:rFonts w:hint="eastAsia"/>
        </w:rPr>
      </w:pPr>
      <w:r>
        <w:rPr>
          <w:rFonts w:hint="eastAsia"/>
        </w:rPr>
        <w:t>承认需要加快实施和资助国家抗微生物药物耐药性行动计划（NAPs）的紧迫需求，应用“同一健康”方针并基于最新全球抗AMR行动计划，从而促进2030年可持续发展议程及其可持续发展目标（SDGs）的实施；</w:t>
      </w:r>
    </w:p>
    <w:p w14:paraId="56266B38">
      <w:pPr>
        <w:rPr>
          <w:rFonts w:hint="eastAsia"/>
        </w:rPr>
      </w:pPr>
    </w:p>
    <w:p w14:paraId="06134044">
      <w:pPr>
        <w:rPr>
          <w:rFonts w:hint="eastAsia"/>
        </w:rPr>
      </w:pPr>
      <w:r>
        <w:rPr>
          <w:rFonts w:hint="eastAsia"/>
        </w:rPr>
        <w:t>承认全球应对抗微生物药物耐药性的政治承诺并减少农食体系中抗微生物药物使用（AMU），包括2024年联合国大会关于抗微生物药物耐药性的政治宣言和2025年粮农组织关于AMR的决议中体现的承诺，以及联合国粮食及农业组织（粮农组织）、联合国环境规划署、世界卫生组织和世界动物卫生组织四方组织的关键作用；</w:t>
      </w:r>
    </w:p>
    <w:p w14:paraId="7905A0B7">
      <w:pPr>
        <w:rPr>
          <w:rFonts w:hint="eastAsia"/>
        </w:rPr>
      </w:pPr>
    </w:p>
    <w:p w14:paraId="180E23E5">
      <w:pPr>
        <w:rPr>
          <w:rFonts w:hint="eastAsia"/>
        </w:rPr>
      </w:pPr>
      <w:r>
        <w:rPr>
          <w:rFonts w:hint="eastAsia"/>
        </w:rPr>
        <w:t>认识到不断变化的资金环境以及可持续且可预估投资对支持地方、国家和全球层面抗AMR行动日益增强的重要性；</w:t>
      </w:r>
    </w:p>
    <w:p w14:paraId="00141EDE">
      <w:pPr>
        <w:rPr>
          <w:rFonts w:hint="eastAsia"/>
        </w:rPr>
      </w:pPr>
    </w:p>
    <w:p w14:paraId="0EAEAA53">
      <w:pPr>
        <w:rPr>
          <w:rFonts w:hint="eastAsia"/>
        </w:rPr>
      </w:pPr>
      <w:r>
        <w:rPr>
          <w:rFonts w:hint="eastAsia"/>
        </w:rPr>
        <w:t>承认粮农组织在应对AMR中的关键角色，包括通过实施以行动为导向、以农场为重点、以国家为主导的“减少农场抗微生物剂需求，推动可持续农业粮食体系转型”（RENOFARM）十年倡议。</w:t>
      </w:r>
    </w:p>
    <w:p w14:paraId="7A9C78D4">
      <w:pPr>
        <w:rPr>
          <w:rFonts w:hint="eastAsia"/>
        </w:rPr>
      </w:pPr>
    </w:p>
    <w:p w14:paraId="04AD645A">
      <w:pPr>
        <w:rPr>
          <w:rFonts w:hint="eastAsia"/>
        </w:rPr>
      </w:pPr>
      <w:r>
        <w:rPr>
          <w:rFonts w:hint="eastAsia"/>
        </w:rPr>
        <w:t>我们承诺：</w:t>
      </w:r>
    </w:p>
    <w:p w14:paraId="452AC006">
      <w:pPr>
        <w:rPr>
          <w:rFonts w:hint="eastAsia"/>
        </w:rPr>
      </w:pPr>
    </w:p>
    <w:p w14:paraId="3C75E305">
      <w:pPr>
        <w:rPr>
          <w:rFonts w:hint="eastAsia"/>
        </w:rPr>
      </w:pPr>
      <w:r>
        <w:rPr>
          <w:rFonts w:hint="eastAsia"/>
        </w:rPr>
        <w:t>加速国家RENOFARM路线图的制定、融资和实施，切实助力国家抗微生物药物耐药性行动计划（NAPs）实施；</w:t>
      </w:r>
    </w:p>
    <w:p w14:paraId="7E1F171A">
      <w:pPr>
        <w:rPr>
          <w:rFonts w:hint="eastAsia"/>
        </w:rPr>
      </w:pPr>
    </w:p>
    <w:p w14:paraId="3FE1536E">
      <w:pPr>
        <w:rPr>
          <w:rFonts w:hint="eastAsia"/>
        </w:rPr>
      </w:pPr>
      <w:r>
        <w:rPr>
          <w:rFonts w:hint="eastAsia"/>
        </w:rPr>
        <w:t xml:space="preserve">将以良好卫生服务，良好生产实践，良好替代方案，良好激励措施，良好伙伴关系五大要素为核心的5Gs 方针全面融入日常实践，包括使用5G清单，并在适当情况下将其纳入认证或认可体系； </w:t>
      </w:r>
    </w:p>
    <w:p w14:paraId="25FE425B">
      <w:pPr>
        <w:rPr>
          <w:rFonts w:hint="eastAsia"/>
        </w:rPr>
      </w:pPr>
    </w:p>
    <w:p w14:paraId="1B79750A">
      <w:pPr>
        <w:rPr>
          <w:rFonts w:hint="eastAsia"/>
        </w:rPr>
      </w:pPr>
      <w:r>
        <w:rPr>
          <w:rFonts w:hint="eastAsia"/>
        </w:rPr>
        <w:t>加强与农食体系中抗微生物药物减量使用相关的政策和监管框架；</w:t>
      </w:r>
    </w:p>
    <w:p w14:paraId="404B2A88">
      <w:pPr>
        <w:rPr>
          <w:rFonts w:hint="eastAsia"/>
        </w:rPr>
      </w:pPr>
    </w:p>
    <w:p w14:paraId="49DF7AE3">
      <w:pPr>
        <w:rPr>
          <w:rFonts w:hint="eastAsia"/>
        </w:rPr>
      </w:pPr>
      <w:r>
        <w:rPr>
          <w:rFonts w:hint="eastAsia"/>
        </w:rPr>
        <w:t xml:space="preserve">  优先实施预防为先的政策和实践，包括支持疫苗接种策略、加强生物安全以及改善动物营养、卫生和福利；</w:t>
      </w:r>
    </w:p>
    <w:p w14:paraId="141F4553">
      <w:pPr>
        <w:rPr>
          <w:rFonts w:hint="eastAsia"/>
        </w:rPr>
      </w:pPr>
    </w:p>
    <w:p w14:paraId="3907E04B">
      <w:pPr>
        <w:rPr>
          <w:rFonts w:hint="eastAsia"/>
        </w:rPr>
      </w:pPr>
    </w:p>
    <w:p w14:paraId="36688A61">
      <w:pPr>
        <w:rPr>
          <w:rFonts w:hint="eastAsia"/>
        </w:rPr>
      </w:pPr>
      <w:r>
        <w:rPr>
          <w:rFonts w:hint="eastAsia"/>
        </w:rPr>
        <w:noBreakHyphen/>
      </w:r>
      <w:r>
        <w:rPr>
          <w:rFonts w:hint="eastAsia"/>
        </w:rPr>
        <w:noBreakHyphen/>
      </w:r>
      <w:r>
        <w:rPr>
          <w:rFonts w:hint="eastAsia"/>
        </w:rPr>
        <w:noBreakHyphen/>
      </w:r>
      <w:r>
        <w:rPr>
          <w:rFonts w:hint="eastAsia"/>
        </w:rPr>
        <w:noBreakHyphen/>
      </w:r>
      <w:r>
        <w:rPr>
          <w:rFonts w:hint="eastAsia"/>
        </w:rPr>
        <w:t>通过加强数据收集、依托FAO全球抗微生物药物耐药性监测系统（InFARM）等全球报告系统，逐步开发综合监测和信息共享系统，强化循证式政策制定、规划和决策管理；</w:t>
      </w:r>
    </w:p>
    <w:p w14:paraId="71DCCB5B">
      <w:pPr>
        <w:rPr>
          <w:rFonts w:hint="eastAsia"/>
        </w:rPr>
      </w:pPr>
    </w:p>
    <w:p w14:paraId="3FED2EAA">
      <w:pPr>
        <w:rPr>
          <w:rFonts w:hint="eastAsia"/>
        </w:rPr>
      </w:pPr>
      <w:r>
        <w:rPr>
          <w:rFonts w:hint="eastAsia"/>
        </w:rPr>
        <w:t>积极推动私营部门参与落实5G方针，加速减少抗微生物药物的使用，加强农业食品价值链的责任落实机制，推动符合可持续发展目标的可持续农食体系转型；</w:t>
      </w:r>
    </w:p>
    <w:p w14:paraId="44E9CD97">
      <w:pPr>
        <w:rPr>
          <w:rFonts w:hint="eastAsia"/>
        </w:rPr>
      </w:pPr>
    </w:p>
    <w:p w14:paraId="11E3AF5A">
      <w:pPr>
        <w:rPr>
          <w:rFonts w:hint="eastAsia"/>
        </w:rPr>
      </w:pPr>
      <w:r>
        <w:rPr>
          <w:rFonts w:hint="eastAsia"/>
        </w:rPr>
        <w:t>助力证据的收集和整合，以展示抗AMR的经济价值，论证减少抗微生物药物需求的干预措施是可负担且具经济效益的，从而为农食体系的政策和规划的制定和投资决策提供依据；</w:t>
      </w:r>
    </w:p>
    <w:p w14:paraId="39D3D230">
      <w:pPr>
        <w:rPr>
          <w:rFonts w:hint="eastAsia"/>
        </w:rPr>
      </w:pPr>
    </w:p>
    <w:p w14:paraId="301DD83A">
      <w:pPr>
        <w:rPr>
          <w:rFonts w:hint="eastAsia"/>
        </w:rPr>
      </w:pPr>
      <w:r>
        <w:rPr>
          <w:rFonts w:hint="eastAsia"/>
        </w:rPr>
        <w:t>推动可持续的国内外AMR行动融资，依托与发展银行、金融机构和私营部门的合作，并充实AMR多方信托基金，拓宽资金保证渠道；</w:t>
      </w:r>
    </w:p>
    <w:p w14:paraId="6554013F">
      <w:pPr>
        <w:rPr>
          <w:rFonts w:hint="eastAsia"/>
        </w:rPr>
      </w:pPr>
    </w:p>
    <w:p w14:paraId="0098CBCF">
      <w:pPr>
        <w:rPr>
          <w:rFonts w:hint="eastAsia"/>
        </w:rPr>
      </w:pPr>
      <w:r>
        <w:rPr>
          <w:rFonts w:hint="eastAsia"/>
        </w:rPr>
        <w:t>通过农民田间学校及其他参与式推广方法，加强人才队伍能力建设和社区公众参与；</w:t>
      </w:r>
    </w:p>
    <w:p w14:paraId="4E8778F0">
      <w:pPr>
        <w:rPr>
          <w:rFonts w:hint="eastAsia"/>
        </w:rPr>
      </w:pPr>
    </w:p>
    <w:p w14:paraId="72914684">
      <w:pPr>
        <w:rPr>
          <w:rFonts w:hint="eastAsia"/>
        </w:rPr>
      </w:pPr>
      <w:r>
        <w:rPr>
          <w:rFonts w:hint="eastAsia"/>
        </w:rPr>
        <w:t>利用现有的全球治理机制，包括全球领导人小组（GLG）、抗AMR行动证据独立小组（IPEA）和多利益相关方伙伴平台（MSPP），以及诸如两年一度的抗AMR高级别部长级会议等关键政治时刻，加快国家RENOFARM路线图的实施；</w:t>
      </w:r>
    </w:p>
    <w:p w14:paraId="623ACB1C">
      <w:pPr>
        <w:rPr>
          <w:rFonts w:hint="eastAsia"/>
        </w:rPr>
      </w:pPr>
    </w:p>
    <w:p w14:paraId="5E86768C">
      <w:pPr>
        <w:rPr>
          <w:sz w:val="34"/>
          <w:szCs w:val="34"/>
        </w:rPr>
      </w:pPr>
      <w:r>
        <w:rPr>
          <w:rFonts w:hint="eastAsia"/>
        </w:rPr>
        <w:t>于2028年召开下一届RENOFARM国际研讨会，巩固推进工作，分享实施经验成果，并在历届国际研讨会成果基础上继续推进工作。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2026-04-29T18:20:53Z</dcterms:created>
  <dc:creator>iPhone</dc:creator>
  <cp:lastModifiedBy>iPhone</cp:lastModifiedBy>
  <dcterms:modified xsi:type="dcterms:W3CDTF">2026-04-29T18:23:25Z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2052-12.43.0</vt:lpwstr>
  </property>
  <property fmtid="{D5CDD505-2E9C-101B-9397-08002B2CF9AE}" pid="3" name="ICV">
    <vt:lpwstr>21628D4C09F03DE385DBF1695956912D_31</vt:lpwstr>
  </property>
</Properties>
</file>