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27612">
      <w:pPr>
        <w:pStyle w:val="10"/>
        <w:spacing w:after="0" w:line="480" w:lineRule="auto"/>
        <w:ind w:left="0" w:leftChars="0" w:firstLine="0" w:firstLineChars="0"/>
        <w:rPr>
          <w:rFonts w:ascii="Times New Roman" w:hAnsi="Times New Roman" w:eastAsia="仿宋" w:cs="Times New Roman"/>
          <w:color w:val="auto"/>
          <w:sz w:val="44"/>
          <w:szCs w:val="44"/>
          <w:highlight w:val="none"/>
        </w:rPr>
      </w:pPr>
    </w:p>
    <w:p w14:paraId="63284A62">
      <w:pPr>
        <w:pStyle w:val="10"/>
        <w:spacing w:after="0" w:line="480" w:lineRule="auto"/>
        <w:ind w:left="0" w:leftChars="0" w:firstLine="0" w:firstLineChars="0"/>
        <w:jc w:val="center"/>
        <w:rPr>
          <w:rFonts w:ascii="Times New Roman" w:hAnsi="Times New Roman" w:eastAsia="方正小标宋_GBK" w:cs="Times New Roman"/>
          <w:color w:val="auto"/>
          <w:sz w:val="96"/>
          <w:szCs w:val="96"/>
          <w:highlight w:val="none"/>
        </w:rPr>
      </w:pPr>
      <w:r>
        <w:rPr>
          <w:rFonts w:ascii="Times New Roman" w:hAnsi="Times New Roman" w:eastAsia="方正小标宋_GBK" w:cs="Times New Roman"/>
          <w:color w:val="auto"/>
          <w:sz w:val="96"/>
          <w:szCs w:val="96"/>
          <w:highlight w:val="none"/>
        </w:rPr>
        <w:t>竞争性比选文件</w:t>
      </w:r>
    </w:p>
    <w:p w14:paraId="1BBA7423">
      <w:pPr>
        <w:pStyle w:val="10"/>
        <w:spacing w:after="0" w:line="500" w:lineRule="exact"/>
        <w:ind w:left="0" w:leftChars="0" w:firstLine="560"/>
        <w:jc w:val="center"/>
        <w:rPr>
          <w:rFonts w:ascii="Times New Roman" w:hAnsi="Times New Roman" w:eastAsia="仿宋" w:cs="Times New Roman"/>
          <w:color w:val="auto"/>
          <w:szCs w:val="28"/>
          <w:highlight w:val="none"/>
        </w:rPr>
      </w:pPr>
    </w:p>
    <w:p w14:paraId="5B0610B8">
      <w:pPr>
        <w:pStyle w:val="10"/>
        <w:spacing w:after="0" w:line="600" w:lineRule="exact"/>
        <w:ind w:left="0" w:leftChars="0" w:firstLine="0" w:firstLineChars="0"/>
        <w:rPr>
          <w:rFonts w:ascii="Times New Roman" w:hAnsi="Times New Roman" w:eastAsia="仿宋" w:cs="Times New Roman"/>
          <w:color w:val="auto"/>
          <w:sz w:val="21"/>
          <w:szCs w:val="21"/>
          <w:highlight w:val="none"/>
        </w:rPr>
      </w:pPr>
    </w:p>
    <w:p w14:paraId="12BC50EB">
      <w:pPr>
        <w:pStyle w:val="10"/>
        <w:spacing w:after="0" w:line="600" w:lineRule="exact"/>
        <w:ind w:left="0" w:leftChars="0" w:firstLine="0" w:firstLineChars="0"/>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项目名称：</w:t>
      </w:r>
      <w:r>
        <w:rPr>
          <w:rFonts w:hint="eastAsia" w:ascii="Times New Roman" w:hAnsi="Times New Roman" w:eastAsia="方正小标宋_GBK" w:cs="Times New Roman"/>
          <w:color w:val="auto"/>
          <w:sz w:val="36"/>
          <w:szCs w:val="36"/>
          <w:highlight w:val="none"/>
        </w:rPr>
        <w:t>“党建</w:t>
      </w:r>
      <w:r>
        <w:rPr>
          <w:rFonts w:hint="eastAsia" w:ascii="Times New Roman" w:hAnsi="Times New Roman" w:eastAsia="方正小标宋_GBK" w:cs="Times New Roman"/>
          <w:color w:val="auto"/>
          <w:sz w:val="36"/>
          <w:szCs w:val="36"/>
          <w:highlight w:val="none"/>
          <w:lang w:eastAsia="zh-CN"/>
        </w:rPr>
        <w:t>·</w:t>
      </w:r>
      <w:r>
        <w:rPr>
          <w:rFonts w:hint="eastAsia" w:ascii="Times New Roman" w:hAnsi="Times New Roman" w:eastAsia="方正小标宋_GBK" w:cs="Times New Roman"/>
          <w:color w:val="auto"/>
          <w:sz w:val="36"/>
          <w:szCs w:val="36"/>
          <w:highlight w:val="none"/>
        </w:rPr>
        <w:t>数智立法”应用信息安全服务</w:t>
      </w:r>
    </w:p>
    <w:p w14:paraId="5D78F454">
      <w:pPr>
        <w:pStyle w:val="10"/>
        <w:spacing w:after="0" w:line="500" w:lineRule="exact"/>
        <w:ind w:left="560" w:firstLine="560"/>
        <w:jc w:val="center"/>
        <w:rPr>
          <w:rFonts w:ascii="Times New Roman" w:hAnsi="Times New Roman" w:eastAsia="仿宋" w:cs="Times New Roman"/>
          <w:color w:val="auto"/>
          <w:szCs w:val="28"/>
          <w:highlight w:val="none"/>
        </w:rPr>
      </w:pPr>
    </w:p>
    <w:p w14:paraId="044213C2">
      <w:pPr>
        <w:pStyle w:val="10"/>
        <w:spacing w:after="0" w:line="500" w:lineRule="exact"/>
        <w:ind w:left="560" w:firstLine="560"/>
        <w:jc w:val="center"/>
        <w:rPr>
          <w:rFonts w:ascii="Times New Roman" w:hAnsi="Times New Roman" w:eastAsia="仿宋" w:cs="Times New Roman"/>
          <w:color w:val="auto"/>
          <w:szCs w:val="28"/>
          <w:highlight w:val="none"/>
        </w:rPr>
      </w:pPr>
    </w:p>
    <w:p w14:paraId="75FCB9C3">
      <w:pPr>
        <w:pStyle w:val="10"/>
        <w:spacing w:after="0" w:line="500" w:lineRule="exact"/>
        <w:ind w:left="560" w:firstLine="560"/>
        <w:jc w:val="center"/>
        <w:rPr>
          <w:rFonts w:ascii="Times New Roman" w:hAnsi="Times New Roman" w:eastAsia="仿宋" w:cs="Times New Roman"/>
          <w:color w:val="auto"/>
          <w:szCs w:val="28"/>
          <w:highlight w:val="none"/>
        </w:rPr>
      </w:pPr>
    </w:p>
    <w:p w14:paraId="7B6F6832">
      <w:pPr>
        <w:pStyle w:val="10"/>
        <w:spacing w:after="0" w:line="500" w:lineRule="exact"/>
        <w:ind w:left="560" w:firstLine="560"/>
        <w:jc w:val="center"/>
        <w:rPr>
          <w:rFonts w:ascii="Times New Roman" w:hAnsi="Times New Roman" w:eastAsia="仿宋" w:cs="Times New Roman"/>
          <w:color w:val="auto"/>
          <w:szCs w:val="28"/>
          <w:highlight w:val="none"/>
        </w:rPr>
      </w:pPr>
    </w:p>
    <w:p w14:paraId="7BFD37D4">
      <w:pPr>
        <w:pStyle w:val="10"/>
        <w:spacing w:after="0" w:line="500" w:lineRule="exact"/>
        <w:ind w:left="560" w:firstLine="560"/>
        <w:jc w:val="center"/>
        <w:rPr>
          <w:rFonts w:ascii="Times New Roman" w:hAnsi="Times New Roman" w:eastAsia="仿宋" w:cs="Times New Roman"/>
          <w:color w:val="auto"/>
          <w:szCs w:val="28"/>
          <w:highlight w:val="none"/>
        </w:rPr>
      </w:pPr>
    </w:p>
    <w:p w14:paraId="3C53AEFC">
      <w:pPr>
        <w:pStyle w:val="10"/>
        <w:spacing w:after="0" w:line="500" w:lineRule="exact"/>
        <w:ind w:left="560" w:firstLine="560"/>
        <w:jc w:val="center"/>
        <w:rPr>
          <w:rFonts w:ascii="Times New Roman" w:hAnsi="Times New Roman" w:eastAsia="仿宋" w:cs="Times New Roman"/>
          <w:color w:val="auto"/>
          <w:szCs w:val="28"/>
          <w:highlight w:val="none"/>
        </w:rPr>
      </w:pPr>
    </w:p>
    <w:p w14:paraId="716CD3D5">
      <w:pPr>
        <w:pStyle w:val="10"/>
        <w:spacing w:after="0" w:line="500" w:lineRule="exact"/>
        <w:ind w:left="560" w:firstLine="560"/>
        <w:jc w:val="center"/>
        <w:rPr>
          <w:rFonts w:ascii="Times New Roman" w:hAnsi="Times New Roman" w:eastAsia="仿宋" w:cs="Times New Roman"/>
          <w:color w:val="auto"/>
          <w:szCs w:val="28"/>
          <w:highlight w:val="none"/>
        </w:rPr>
      </w:pPr>
    </w:p>
    <w:p w14:paraId="77078DDC">
      <w:pPr>
        <w:pStyle w:val="10"/>
        <w:spacing w:after="0" w:line="500" w:lineRule="exact"/>
        <w:ind w:left="560" w:firstLine="560"/>
        <w:jc w:val="center"/>
        <w:rPr>
          <w:rFonts w:ascii="Times New Roman" w:hAnsi="Times New Roman" w:eastAsia="仿宋" w:cs="Times New Roman"/>
          <w:color w:val="auto"/>
          <w:szCs w:val="28"/>
          <w:highlight w:val="none"/>
        </w:rPr>
      </w:pPr>
    </w:p>
    <w:p w14:paraId="77DA17F2">
      <w:pPr>
        <w:pStyle w:val="10"/>
        <w:spacing w:after="0" w:line="500" w:lineRule="exact"/>
        <w:ind w:left="560" w:firstLine="560"/>
        <w:jc w:val="center"/>
        <w:rPr>
          <w:rFonts w:ascii="Times New Roman" w:hAnsi="Times New Roman" w:eastAsia="仿宋" w:cs="Times New Roman"/>
          <w:color w:val="auto"/>
          <w:szCs w:val="28"/>
          <w:highlight w:val="none"/>
        </w:rPr>
      </w:pPr>
    </w:p>
    <w:p w14:paraId="04D595D4">
      <w:pPr>
        <w:pStyle w:val="10"/>
        <w:spacing w:after="0" w:line="600" w:lineRule="exact"/>
        <w:ind w:left="560" w:firstLine="0" w:firstLineChars="0"/>
        <w:jc w:val="center"/>
        <w:rPr>
          <w:rFonts w:ascii="Times New Roman" w:hAnsi="Times New Roman" w:eastAsia="方正小标宋_GBK" w:cs="Times New Roman"/>
          <w:color w:val="auto"/>
          <w:sz w:val="36"/>
          <w:szCs w:val="36"/>
          <w:highlight w:val="none"/>
        </w:rPr>
      </w:pPr>
      <w:r>
        <w:rPr>
          <w:rFonts w:hint="eastAsia" w:ascii="Times New Roman" w:hAnsi="Times New Roman" w:eastAsia="方正小标宋_GBK" w:cs="Times New Roman"/>
          <w:color w:val="auto"/>
          <w:sz w:val="36"/>
          <w:szCs w:val="36"/>
          <w:highlight w:val="none"/>
        </w:rPr>
        <w:t>采购人：重庆华龙网集团股份有限公司</w:t>
      </w:r>
    </w:p>
    <w:p w14:paraId="10E1A3AF">
      <w:pPr>
        <w:pStyle w:val="10"/>
        <w:spacing w:after="0" w:line="600" w:lineRule="exact"/>
        <w:ind w:left="560" w:firstLine="0" w:firstLineChars="0"/>
        <w:jc w:val="center"/>
        <w:rPr>
          <w:rFonts w:ascii="Times New Roman" w:hAnsi="Times New Roman" w:eastAsia="方正小标宋_GBK" w:cs="Times New Roman"/>
          <w:color w:val="auto"/>
          <w:sz w:val="36"/>
          <w:szCs w:val="36"/>
          <w:highlight w:val="none"/>
        </w:rPr>
      </w:pPr>
      <w:r>
        <w:rPr>
          <w:rFonts w:hint="eastAsia" w:ascii="Times New Roman" w:hAnsi="Times New Roman" w:eastAsia="方正小标宋_GBK" w:cs="Times New Roman"/>
          <w:color w:val="auto"/>
          <w:sz w:val="36"/>
          <w:szCs w:val="36"/>
          <w:highlight w:val="none"/>
        </w:rPr>
        <w:t>二〇二六年三月</w:t>
      </w:r>
    </w:p>
    <w:p w14:paraId="3B5136DC">
      <w:pPr>
        <w:pStyle w:val="10"/>
        <w:spacing w:after="0" w:line="500" w:lineRule="exact"/>
        <w:ind w:left="560" w:firstLine="0" w:firstLineChars="0"/>
        <w:jc w:val="center"/>
        <w:rPr>
          <w:rFonts w:ascii="Times New Roman" w:hAnsi="Times New Roman" w:eastAsia="仿宋" w:cs="Times New Roman"/>
          <w:color w:val="auto"/>
          <w:szCs w:val="28"/>
          <w:highlight w:val="none"/>
        </w:rPr>
      </w:pPr>
    </w:p>
    <w:p w14:paraId="35B257EF">
      <w:pPr>
        <w:pStyle w:val="10"/>
        <w:spacing w:after="0" w:line="600" w:lineRule="exact"/>
        <w:ind w:left="0" w:leftChars="0" w:firstLine="0" w:firstLineChars="0"/>
        <w:rPr>
          <w:rFonts w:ascii="Times New Roman" w:hAnsi="Times New Roman" w:eastAsia="仿宋" w:cs="Times New Roman"/>
          <w:color w:val="auto"/>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985" w:left="1531" w:header="851" w:footer="992" w:gutter="0"/>
          <w:pgNumType w:start="1"/>
          <w:cols w:space="720" w:num="1"/>
          <w:titlePg/>
          <w:docGrid w:linePitch="381" w:charSpace="-5735"/>
        </w:sectPr>
      </w:pPr>
    </w:p>
    <w:p w14:paraId="15E446A4">
      <w:pPr>
        <w:spacing w:line="240" w:lineRule="auto"/>
        <w:ind w:firstLine="0" w:firstLineChars="0"/>
        <w:jc w:val="center"/>
        <w:rPr>
          <w:rFonts w:ascii="Times New Roman" w:hAnsi="Times New Roman" w:eastAsia="宋体"/>
          <w:b/>
          <w:bCs/>
          <w:color w:val="auto"/>
          <w:sz w:val="36"/>
          <w:szCs w:val="44"/>
          <w:highlight w:val="none"/>
        </w:rPr>
      </w:pPr>
      <w:r>
        <w:rPr>
          <w:rFonts w:ascii="Times New Roman" w:hAnsi="Times New Roman" w:eastAsia="宋体"/>
          <w:b/>
          <w:bCs/>
          <w:color w:val="auto"/>
          <w:sz w:val="36"/>
          <w:szCs w:val="44"/>
          <w:highlight w:val="none"/>
        </w:rPr>
        <w:t>目  录</w:t>
      </w:r>
    </w:p>
    <w:p w14:paraId="0683214C">
      <w:pPr>
        <w:pStyle w:val="2"/>
        <w:tabs>
          <w:tab w:val="right" w:leader="dot" w:pos="9060"/>
        </w:tabs>
        <w:spacing w:line="579" w:lineRule="exact"/>
        <w:ind w:firstLine="480"/>
        <w:outlineLvl w:val="0"/>
        <w:rPr>
          <w:rFonts w:eastAsia="方正仿宋_GBK"/>
          <w:b/>
          <w:bCs/>
          <w:color w:val="auto"/>
          <w:sz w:val="28"/>
          <w:szCs w:val="28"/>
          <w:highlight w:val="none"/>
        </w:rPr>
      </w:pPr>
      <w:r>
        <w:rPr>
          <w:rFonts w:eastAsia="方正仿宋_GBK"/>
          <w:b/>
          <w:bCs/>
          <w:color w:val="auto"/>
          <w:sz w:val="28"/>
          <w:szCs w:val="28"/>
          <w:highlight w:val="none"/>
        </w:rPr>
        <w:fldChar w:fldCharType="begin"/>
      </w:r>
      <w:r>
        <w:rPr>
          <w:rFonts w:eastAsia="方正仿宋_GBK"/>
          <w:b/>
          <w:bCs/>
          <w:color w:val="auto"/>
          <w:sz w:val="28"/>
          <w:szCs w:val="28"/>
          <w:highlight w:val="none"/>
        </w:rPr>
        <w:instrText xml:space="preserve"> TOC \o "1-1" \h \z \u </w:instrText>
      </w:r>
      <w:r>
        <w:rPr>
          <w:rFonts w:eastAsia="方正仿宋_GBK"/>
          <w:b/>
          <w:bCs/>
          <w:color w:val="auto"/>
          <w:sz w:val="28"/>
          <w:szCs w:val="28"/>
          <w:highlight w:val="none"/>
        </w:rPr>
        <w:fldChar w:fldCharType="separate"/>
      </w:r>
    </w:p>
    <w:sdt>
      <w:sdtPr>
        <w:rPr>
          <w:rFonts w:ascii="宋体" w:hAnsi="宋体" w:eastAsia="宋体" w:cs="Times New Roman"/>
          <w:color w:val="000000" w:themeColor="text1"/>
          <w:kern w:val="2"/>
          <w:sz w:val="21"/>
          <w:szCs w:val="24"/>
          <w:highlight w:val="none"/>
          <w:lang w:val="en-US" w:eastAsia="zh-CN" w:bidi="ar-SA"/>
          <w14:textFill>
            <w14:solidFill>
              <w14:schemeClr w14:val="tx1"/>
            </w14:solidFill>
          </w14:textFill>
        </w:rPr>
        <w:id w:val="147465888"/>
        <w15:color w:val="DBDBDB"/>
        <w:docPartObj>
          <w:docPartGallery w:val="Table of Contents"/>
          <w:docPartUnique/>
        </w:docPartObj>
      </w:sdtPr>
      <w:sdtEndP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sdtEndPr>
      <w:sdtContent>
        <w:p w14:paraId="1D98AF3E">
          <w:pPr>
            <w:spacing w:before="0" w:beforeLines="0" w:after="0" w:afterLines="0" w:line="240" w:lineRule="auto"/>
            <w:ind w:left="0" w:leftChars="0" w:right="0" w:rightChars="0" w:firstLine="0" w:firstLineChars="0"/>
            <w:jc w:val="center"/>
            <w:rPr>
              <w:highlight w:val="none"/>
            </w:rPr>
          </w:pPr>
        </w:p>
        <w:p w14:paraId="3790024E">
          <w:pPr>
            <w:pStyle w:val="2"/>
            <w:tabs>
              <w:tab w:val="right" w:leader="dot" w:pos="9070"/>
            </w:tabs>
            <w:rPr>
              <w:highlight w:val="none"/>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_Toc18819 </w:instrText>
          </w:r>
          <w:r>
            <w:rPr>
              <w:highlight w:val="none"/>
            </w:rPr>
            <w:fldChar w:fldCharType="separate"/>
          </w:r>
          <w:r>
            <w:rPr>
              <w:rFonts w:ascii="Times New Roman" w:hAnsi="Times New Roman" w:eastAsia="方正小标宋_GBK" w:cs="Times New Roman"/>
              <w:bCs/>
              <w:kern w:val="44"/>
              <w:szCs w:val="44"/>
              <w:highlight w:val="none"/>
            </w:rPr>
            <w:t>第一篇  比选邀请书</w:t>
          </w:r>
          <w:r>
            <w:rPr>
              <w:highlight w:val="none"/>
            </w:rPr>
            <w:tab/>
          </w:r>
          <w:r>
            <w:rPr>
              <w:rFonts w:hint="eastAsia"/>
              <w:highlight w:val="none"/>
              <w:lang w:val="en-US" w:eastAsia="zh-CN"/>
            </w:rPr>
            <w:t>0</w:t>
          </w:r>
          <w:r>
            <w:rPr>
              <w:highlight w:val="none"/>
            </w:rPr>
            <w:fldChar w:fldCharType="begin"/>
          </w:r>
          <w:r>
            <w:rPr>
              <w:highlight w:val="none"/>
            </w:rPr>
            <w:instrText xml:space="preserve"> PAGEREF _Toc18819 \h </w:instrText>
          </w:r>
          <w:r>
            <w:rPr>
              <w:highlight w:val="none"/>
            </w:rPr>
            <w:fldChar w:fldCharType="separate"/>
          </w:r>
          <w:r>
            <w:rPr>
              <w:highlight w:val="none"/>
            </w:rPr>
            <w:t>2</w:t>
          </w:r>
          <w:r>
            <w:rPr>
              <w:highlight w:val="none"/>
            </w:rPr>
            <w:fldChar w:fldCharType="end"/>
          </w:r>
          <w:r>
            <w:rPr>
              <w:highlight w:val="none"/>
            </w:rPr>
            <w:fldChar w:fldCharType="end"/>
          </w:r>
        </w:p>
        <w:p w14:paraId="5475F867">
          <w:pPr>
            <w:pStyle w:val="2"/>
            <w:tabs>
              <w:tab w:val="right" w:leader="dot" w:pos="9070"/>
            </w:tabs>
            <w:rPr>
              <w:highlight w:val="none"/>
            </w:rPr>
          </w:pPr>
          <w:r>
            <w:rPr>
              <w:highlight w:val="none"/>
            </w:rPr>
            <w:fldChar w:fldCharType="begin"/>
          </w:r>
          <w:r>
            <w:rPr>
              <w:highlight w:val="none"/>
            </w:rPr>
            <w:instrText xml:space="preserve"> HYPERLINK \l _Toc8041 </w:instrText>
          </w:r>
          <w:r>
            <w:rPr>
              <w:highlight w:val="none"/>
            </w:rPr>
            <w:fldChar w:fldCharType="separate"/>
          </w:r>
          <w:r>
            <w:rPr>
              <w:rFonts w:ascii="Times New Roman" w:hAnsi="Times New Roman" w:eastAsia="方正小标宋_GBK" w:cs="Times New Roman"/>
              <w:bCs/>
              <w:kern w:val="44"/>
              <w:szCs w:val="44"/>
              <w:highlight w:val="none"/>
            </w:rPr>
            <w:t>第二篇  项目技术/服务需求</w:t>
          </w:r>
          <w:r>
            <w:rPr>
              <w:highlight w:val="none"/>
            </w:rPr>
            <w:tab/>
          </w:r>
          <w:r>
            <w:rPr>
              <w:rFonts w:hint="eastAsia"/>
              <w:highlight w:val="none"/>
              <w:lang w:val="en-US" w:eastAsia="zh-CN"/>
            </w:rPr>
            <w:t>0</w:t>
          </w:r>
          <w:r>
            <w:rPr>
              <w:highlight w:val="none"/>
            </w:rPr>
            <w:fldChar w:fldCharType="begin"/>
          </w:r>
          <w:r>
            <w:rPr>
              <w:highlight w:val="none"/>
            </w:rPr>
            <w:instrText xml:space="preserve"> PAGEREF _Toc8041 \h </w:instrText>
          </w:r>
          <w:r>
            <w:rPr>
              <w:highlight w:val="none"/>
            </w:rPr>
            <w:fldChar w:fldCharType="separate"/>
          </w:r>
          <w:r>
            <w:rPr>
              <w:highlight w:val="none"/>
            </w:rPr>
            <w:t>5</w:t>
          </w:r>
          <w:r>
            <w:rPr>
              <w:highlight w:val="none"/>
            </w:rPr>
            <w:fldChar w:fldCharType="end"/>
          </w:r>
          <w:r>
            <w:rPr>
              <w:highlight w:val="none"/>
            </w:rPr>
            <w:fldChar w:fldCharType="end"/>
          </w:r>
        </w:p>
        <w:p w14:paraId="1DD34324">
          <w:pPr>
            <w:pStyle w:val="2"/>
            <w:tabs>
              <w:tab w:val="right" w:leader="dot" w:pos="9070"/>
            </w:tabs>
            <w:rPr>
              <w:highlight w:val="none"/>
            </w:rPr>
          </w:pPr>
          <w:r>
            <w:rPr>
              <w:highlight w:val="none"/>
            </w:rPr>
            <w:fldChar w:fldCharType="begin"/>
          </w:r>
          <w:r>
            <w:rPr>
              <w:highlight w:val="none"/>
            </w:rPr>
            <w:instrText xml:space="preserve"> HYPERLINK \l _Toc13316 </w:instrText>
          </w:r>
          <w:r>
            <w:rPr>
              <w:highlight w:val="none"/>
            </w:rPr>
            <w:fldChar w:fldCharType="separate"/>
          </w:r>
          <w:r>
            <w:rPr>
              <w:rFonts w:ascii="Times New Roman" w:hAnsi="Times New Roman" w:eastAsia="方正小标宋_GBK" w:cs="Times New Roman"/>
              <w:bCs/>
              <w:kern w:val="44"/>
              <w:szCs w:val="44"/>
              <w:highlight w:val="none"/>
            </w:rPr>
            <w:t>第三篇  项目商务要求</w:t>
          </w:r>
          <w:r>
            <w:rPr>
              <w:highlight w:val="none"/>
            </w:rPr>
            <w:tab/>
          </w:r>
          <w:r>
            <w:rPr>
              <w:highlight w:val="none"/>
            </w:rPr>
            <w:fldChar w:fldCharType="begin"/>
          </w:r>
          <w:r>
            <w:rPr>
              <w:highlight w:val="none"/>
            </w:rPr>
            <w:instrText xml:space="preserve"> PAGEREF _Toc13316 \h </w:instrText>
          </w:r>
          <w:r>
            <w:rPr>
              <w:highlight w:val="none"/>
            </w:rPr>
            <w:fldChar w:fldCharType="separate"/>
          </w:r>
          <w:r>
            <w:rPr>
              <w:highlight w:val="none"/>
            </w:rPr>
            <w:t>10</w:t>
          </w:r>
          <w:r>
            <w:rPr>
              <w:highlight w:val="none"/>
            </w:rPr>
            <w:fldChar w:fldCharType="end"/>
          </w:r>
          <w:r>
            <w:rPr>
              <w:highlight w:val="none"/>
            </w:rPr>
            <w:fldChar w:fldCharType="end"/>
          </w:r>
        </w:p>
        <w:p w14:paraId="40E4601E">
          <w:pPr>
            <w:pStyle w:val="2"/>
            <w:tabs>
              <w:tab w:val="right" w:leader="dot" w:pos="9070"/>
            </w:tabs>
            <w:rPr>
              <w:highlight w:val="none"/>
            </w:rPr>
          </w:pPr>
          <w:r>
            <w:rPr>
              <w:highlight w:val="none"/>
            </w:rPr>
            <w:fldChar w:fldCharType="begin"/>
          </w:r>
          <w:r>
            <w:rPr>
              <w:highlight w:val="none"/>
            </w:rPr>
            <w:instrText xml:space="preserve"> HYPERLINK \l _Toc16706 </w:instrText>
          </w:r>
          <w:r>
            <w:rPr>
              <w:highlight w:val="none"/>
            </w:rPr>
            <w:fldChar w:fldCharType="separate"/>
          </w:r>
          <w:r>
            <w:rPr>
              <w:rFonts w:ascii="Times New Roman" w:hAnsi="Times New Roman" w:eastAsia="方正小标宋_GBK" w:cs="Times New Roman"/>
              <w:bCs/>
              <w:kern w:val="44"/>
              <w:szCs w:val="44"/>
              <w:highlight w:val="none"/>
            </w:rPr>
            <w:t>第四篇  比选程序及方法、评审标准</w:t>
          </w:r>
          <w:r>
            <w:rPr>
              <w:highlight w:val="none"/>
            </w:rPr>
            <w:tab/>
          </w:r>
          <w:r>
            <w:rPr>
              <w:highlight w:val="none"/>
            </w:rPr>
            <w:fldChar w:fldCharType="begin"/>
          </w:r>
          <w:r>
            <w:rPr>
              <w:highlight w:val="none"/>
            </w:rPr>
            <w:instrText xml:space="preserve"> PAGEREF _Toc16706 \h </w:instrText>
          </w:r>
          <w:r>
            <w:rPr>
              <w:highlight w:val="none"/>
            </w:rPr>
            <w:fldChar w:fldCharType="separate"/>
          </w:r>
          <w:r>
            <w:rPr>
              <w:highlight w:val="none"/>
            </w:rPr>
            <w:t>14</w:t>
          </w:r>
          <w:r>
            <w:rPr>
              <w:highlight w:val="none"/>
            </w:rPr>
            <w:fldChar w:fldCharType="end"/>
          </w:r>
          <w:r>
            <w:rPr>
              <w:highlight w:val="none"/>
            </w:rPr>
            <w:fldChar w:fldCharType="end"/>
          </w:r>
        </w:p>
        <w:p w14:paraId="2057BA6D">
          <w:pPr>
            <w:pStyle w:val="2"/>
            <w:tabs>
              <w:tab w:val="right" w:leader="dot" w:pos="9070"/>
            </w:tabs>
            <w:rPr>
              <w:highlight w:val="none"/>
            </w:rPr>
          </w:pPr>
          <w:r>
            <w:rPr>
              <w:highlight w:val="none"/>
            </w:rPr>
            <w:fldChar w:fldCharType="begin"/>
          </w:r>
          <w:r>
            <w:rPr>
              <w:highlight w:val="none"/>
            </w:rPr>
            <w:instrText xml:space="preserve"> HYPERLINK \l _Toc20103 </w:instrText>
          </w:r>
          <w:r>
            <w:rPr>
              <w:highlight w:val="none"/>
            </w:rPr>
            <w:fldChar w:fldCharType="separate"/>
          </w:r>
          <w:r>
            <w:rPr>
              <w:rFonts w:ascii="Times New Roman" w:hAnsi="Times New Roman" w:eastAsia="方正小标宋_GBK" w:cs="Times New Roman"/>
              <w:bCs/>
              <w:kern w:val="44"/>
              <w:szCs w:val="44"/>
              <w:highlight w:val="none"/>
            </w:rPr>
            <w:t>第五篇  比选须知</w:t>
          </w:r>
          <w:r>
            <w:rPr>
              <w:highlight w:val="none"/>
            </w:rPr>
            <w:tab/>
          </w:r>
          <w:r>
            <w:rPr>
              <w:highlight w:val="none"/>
            </w:rPr>
            <w:fldChar w:fldCharType="begin"/>
          </w:r>
          <w:r>
            <w:rPr>
              <w:highlight w:val="none"/>
            </w:rPr>
            <w:instrText xml:space="preserve"> PAGEREF _Toc20103 \h </w:instrText>
          </w:r>
          <w:r>
            <w:rPr>
              <w:highlight w:val="none"/>
            </w:rPr>
            <w:fldChar w:fldCharType="separate"/>
          </w:r>
          <w:r>
            <w:rPr>
              <w:highlight w:val="none"/>
            </w:rPr>
            <w:t>21</w:t>
          </w:r>
          <w:r>
            <w:rPr>
              <w:highlight w:val="none"/>
            </w:rPr>
            <w:fldChar w:fldCharType="end"/>
          </w:r>
          <w:r>
            <w:rPr>
              <w:highlight w:val="none"/>
            </w:rPr>
            <w:fldChar w:fldCharType="end"/>
          </w:r>
        </w:p>
        <w:p w14:paraId="4F287F4A">
          <w:pPr>
            <w:pStyle w:val="2"/>
            <w:tabs>
              <w:tab w:val="right" w:leader="dot" w:pos="9070"/>
            </w:tabs>
            <w:rPr>
              <w:highlight w:val="none"/>
            </w:rPr>
          </w:pPr>
          <w:r>
            <w:rPr>
              <w:highlight w:val="none"/>
            </w:rPr>
            <w:fldChar w:fldCharType="begin"/>
          </w:r>
          <w:r>
            <w:rPr>
              <w:highlight w:val="none"/>
            </w:rPr>
            <w:instrText xml:space="preserve"> HYPERLINK \l _Toc1319 </w:instrText>
          </w:r>
          <w:r>
            <w:rPr>
              <w:highlight w:val="none"/>
            </w:rPr>
            <w:fldChar w:fldCharType="separate"/>
          </w:r>
          <w:r>
            <w:rPr>
              <w:rFonts w:ascii="Times New Roman" w:hAnsi="Times New Roman" w:eastAsia="方正小标宋_GBK" w:cs="Times New Roman"/>
              <w:bCs/>
              <w:kern w:val="44"/>
              <w:szCs w:val="44"/>
              <w:highlight w:val="none"/>
            </w:rPr>
            <w:t>第六篇  合同主要条款和格式合同（样本）</w:t>
          </w:r>
          <w:r>
            <w:rPr>
              <w:highlight w:val="none"/>
            </w:rPr>
            <w:tab/>
          </w:r>
          <w:r>
            <w:rPr>
              <w:highlight w:val="none"/>
            </w:rPr>
            <w:fldChar w:fldCharType="begin"/>
          </w:r>
          <w:r>
            <w:rPr>
              <w:highlight w:val="none"/>
            </w:rPr>
            <w:instrText xml:space="preserve"> PAGEREF _Toc1319 \h </w:instrText>
          </w:r>
          <w:r>
            <w:rPr>
              <w:highlight w:val="none"/>
            </w:rPr>
            <w:fldChar w:fldCharType="separate"/>
          </w:r>
          <w:r>
            <w:rPr>
              <w:highlight w:val="none"/>
            </w:rPr>
            <w:t>25</w:t>
          </w:r>
          <w:r>
            <w:rPr>
              <w:highlight w:val="none"/>
            </w:rPr>
            <w:fldChar w:fldCharType="end"/>
          </w:r>
          <w:r>
            <w:rPr>
              <w:highlight w:val="none"/>
            </w:rPr>
            <w:fldChar w:fldCharType="end"/>
          </w:r>
        </w:p>
        <w:p w14:paraId="19C4976C">
          <w:pPr>
            <w:pStyle w:val="2"/>
            <w:tabs>
              <w:tab w:val="right" w:leader="dot" w:pos="9070"/>
            </w:tabs>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highlight w:val="none"/>
            </w:rPr>
            <w:fldChar w:fldCharType="begin"/>
          </w:r>
          <w:r>
            <w:rPr>
              <w:highlight w:val="none"/>
            </w:rPr>
            <w:instrText xml:space="preserve"> HYPERLINK \l _Toc3499 </w:instrText>
          </w:r>
          <w:r>
            <w:rPr>
              <w:highlight w:val="none"/>
            </w:rPr>
            <w:fldChar w:fldCharType="separate"/>
          </w:r>
          <w:r>
            <w:rPr>
              <w:rFonts w:ascii="Times New Roman" w:hAnsi="Times New Roman" w:eastAsia="方正小标宋_GBK" w:cs="Times New Roman"/>
              <w:bCs/>
              <w:kern w:val="44"/>
              <w:szCs w:val="44"/>
              <w:highlight w:val="none"/>
            </w:rPr>
            <w:t xml:space="preserve">第七篇 </w:t>
          </w:r>
          <w:r>
            <w:rPr>
              <w:rFonts w:hint="eastAsia" w:eastAsia="方正小标宋_GBK" w:cs="Times New Roman"/>
              <w:bCs/>
              <w:kern w:val="44"/>
              <w:szCs w:val="44"/>
              <w:highlight w:val="none"/>
              <w:lang w:val="en-US" w:eastAsia="zh-CN"/>
            </w:rPr>
            <w:t xml:space="preserve"> </w:t>
          </w:r>
          <w:r>
            <w:rPr>
              <w:rFonts w:ascii="Times New Roman" w:hAnsi="Times New Roman" w:eastAsia="方正小标宋_GBK" w:cs="Times New Roman"/>
              <w:bCs/>
              <w:kern w:val="44"/>
              <w:szCs w:val="44"/>
              <w:highlight w:val="none"/>
            </w:rPr>
            <w:t>参选文件格式</w:t>
          </w:r>
          <w:r>
            <w:rPr>
              <w:highlight w:val="none"/>
            </w:rPr>
            <w:tab/>
          </w:r>
          <w:r>
            <w:rPr>
              <w:highlight w:val="none"/>
            </w:rPr>
            <w:fldChar w:fldCharType="begin"/>
          </w:r>
          <w:r>
            <w:rPr>
              <w:highlight w:val="none"/>
            </w:rPr>
            <w:instrText xml:space="preserve"> PAGEREF _Toc3499 \h </w:instrText>
          </w:r>
          <w:r>
            <w:rPr>
              <w:highlight w:val="none"/>
            </w:rPr>
            <w:fldChar w:fldCharType="separate"/>
          </w:r>
          <w:r>
            <w:rPr>
              <w:highlight w:val="none"/>
            </w:rPr>
            <w:t>36</w:t>
          </w:r>
          <w:r>
            <w:rPr>
              <w:highlight w:val="none"/>
            </w:rPr>
            <w:fldChar w:fldCharType="end"/>
          </w:r>
          <w:r>
            <w:rPr>
              <w:highlight w:val="none"/>
            </w:rPr>
            <w:fldChar w:fldCharType="end"/>
          </w:r>
          <w:r>
            <w:rPr>
              <w:highlight w:val="none"/>
            </w:rPr>
            <w:fldChar w:fldCharType="end"/>
          </w:r>
        </w:p>
      </w:sdtContent>
    </w:sdt>
    <w:p w14:paraId="27990A55">
      <w:pPr>
        <w:rPr>
          <w:highlight w:val="none"/>
        </w:rPr>
      </w:pPr>
    </w:p>
    <w:p w14:paraId="6FA10CE4">
      <w:pPr>
        <w:pStyle w:val="2"/>
        <w:tabs>
          <w:tab w:val="right" w:leader="dot" w:pos="9060"/>
        </w:tabs>
        <w:ind w:firstLine="562"/>
        <w:rPr>
          <w:rFonts w:eastAsia="仿宋"/>
          <w:color w:val="auto"/>
          <w:highlight w:val="none"/>
        </w:rPr>
      </w:pPr>
      <w:r>
        <w:rPr>
          <w:rFonts w:eastAsia="方正仿宋_GBK"/>
          <w:b/>
          <w:bCs/>
          <w:color w:val="auto"/>
          <w:sz w:val="28"/>
          <w:szCs w:val="28"/>
          <w:highlight w:val="none"/>
        </w:rPr>
        <w:fldChar w:fldCharType="end"/>
      </w:r>
    </w:p>
    <w:p w14:paraId="10786E15">
      <w:pPr>
        <w:ind w:left="560" w:firstLine="0" w:firstLineChars="0"/>
        <w:rPr>
          <w:rFonts w:ascii="Times New Roman" w:hAnsi="Times New Roman" w:eastAsia="仿宋"/>
          <w:color w:val="auto"/>
          <w:highlight w:val="none"/>
        </w:rPr>
      </w:pPr>
    </w:p>
    <w:p w14:paraId="7723DACA">
      <w:pPr>
        <w:ind w:left="560" w:firstLine="0" w:firstLineChars="0"/>
        <w:rPr>
          <w:rFonts w:ascii="Times New Roman" w:hAnsi="Times New Roman" w:eastAsia="仿宋"/>
          <w:color w:val="auto"/>
          <w:highlight w:val="none"/>
        </w:rPr>
      </w:pPr>
    </w:p>
    <w:p w14:paraId="358D7C4E">
      <w:pPr>
        <w:ind w:left="560" w:firstLine="0" w:firstLineChars="0"/>
        <w:rPr>
          <w:rFonts w:ascii="Times New Roman" w:hAnsi="Times New Roman" w:eastAsia="仿宋"/>
          <w:color w:val="auto"/>
          <w:highlight w:val="none"/>
        </w:rPr>
      </w:pPr>
    </w:p>
    <w:p w14:paraId="0FE69F2B">
      <w:pPr>
        <w:ind w:left="560" w:firstLine="0" w:firstLineChars="0"/>
        <w:rPr>
          <w:rFonts w:ascii="Times New Roman" w:hAnsi="Times New Roman" w:eastAsia="仿宋"/>
          <w:color w:val="auto"/>
          <w:highlight w:val="none"/>
        </w:rPr>
      </w:pPr>
    </w:p>
    <w:p w14:paraId="1D74FE81">
      <w:pPr>
        <w:ind w:left="560" w:firstLine="0" w:firstLineChars="0"/>
        <w:rPr>
          <w:rFonts w:ascii="Times New Roman" w:hAnsi="Times New Roman" w:eastAsia="仿宋"/>
          <w:color w:val="auto"/>
          <w:highlight w:val="none"/>
        </w:rPr>
      </w:pPr>
    </w:p>
    <w:p w14:paraId="2C545216">
      <w:pPr>
        <w:ind w:left="560" w:firstLine="0" w:firstLineChars="0"/>
        <w:rPr>
          <w:rFonts w:ascii="Times New Roman" w:hAnsi="Times New Roman" w:eastAsia="仿宋"/>
          <w:color w:val="auto"/>
          <w:highlight w:val="none"/>
        </w:rPr>
      </w:pPr>
    </w:p>
    <w:p w14:paraId="39DDEAD0">
      <w:pPr>
        <w:ind w:left="560" w:firstLine="0" w:firstLineChars="0"/>
        <w:rPr>
          <w:rFonts w:ascii="Times New Roman" w:hAnsi="Times New Roman" w:eastAsia="仿宋"/>
          <w:color w:val="auto"/>
          <w:highlight w:val="none"/>
        </w:rPr>
      </w:pPr>
    </w:p>
    <w:p w14:paraId="1185F8B8">
      <w:pPr>
        <w:ind w:left="560" w:firstLine="0" w:firstLineChars="0"/>
        <w:rPr>
          <w:rFonts w:ascii="Times New Roman" w:hAnsi="Times New Roman" w:eastAsia="仿宋"/>
          <w:color w:val="auto"/>
          <w:highlight w:val="none"/>
        </w:rPr>
      </w:pPr>
    </w:p>
    <w:p w14:paraId="5BA36570">
      <w:pPr>
        <w:ind w:left="560" w:firstLine="0" w:firstLineChars="0"/>
        <w:rPr>
          <w:rFonts w:ascii="Times New Roman" w:hAnsi="Times New Roman" w:eastAsia="仿宋"/>
          <w:color w:val="auto"/>
          <w:highlight w:val="none"/>
        </w:rPr>
      </w:pPr>
    </w:p>
    <w:p w14:paraId="2677552D">
      <w:pPr>
        <w:ind w:firstLine="560" w:firstLineChars="0"/>
        <w:rPr>
          <w:rFonts w:ascii="Times New Roman" w:hAnsi="Times New Roman" w:eastAsia="仿宋"/>
          <w:color w:val="auto"/>
          <w:szCs w:val="28"/>
          <w:highlight w:val="none"/>
        </w:rPr>
      </w:pPr>
    </w:p>
    <w:p w14:paraId="4B0B70DF">
      <w:pPr>
        <w:pStyle w:val="2"/>
        <w:ind w:firstLine="480"/>
        <w:rPr>
          <w:rFonts w:eastAsia="仿宋"/>
          <w:color w:val="auto"/>
          <w:szCs w:val="28"/>
          <w:highlight w:val="none"/>
        </w:rPr>
      </w:pPr>
    </w:p>
    <w:p w14:paraId="10F5E678">
      <w:pPr>
        <w:pStyle w:val="3"/>
        <w:spacing w:before="0" w:after="0" w:line="500" w:lineRule="exact"/>
        <w:ind w:firstLine="0" w:firstLineChars="0"/>
        <w:jc w:val="center"/>
        <w:rPr>
          <w:rFonts w:ascii="Times New Roman" w:hAnsi="Times New Roman" w:eastAsia="方正小标宋_GBK" w:cs="Times New Roman"/>
          <w:b/>
          <w:bCs/>
          <w:color w:val="auto"/>
          <w:kern w:val="44"/>
          <w:sz w:val="32"/>
          <w:szCs w:val="44"/>
          <w:highlight w:val="none"/>
        </w:rPr>
      </w:pPr>
      <w:bookmarkStart w:id="0" w:name="_Toc194572015"/>
      <w:bookmarkStart w:id="1" w:name="_Toc18819"/>
      <w:r>
        <w:rPr>
          <w:rFonts w:ascii="Times New Roman" w:hAnsi="Times New Roman" w:eastAsia="方正小标宋_GBK" w:cs="Times New Roman"/>
          <w:b/>
          <w:bCs/>
          <w:color w:val="auto"/>
          <w:kern w:val="44"/>
          <w:sz w:val="32"/>
          <w:szCs w:val="44"/>
          <w:highlight w:val="none"/>
        </w:rPr>
        <w:t>第一篇  比选邀请书</w:t>
      </w:r>
      <w:bookmarkEnd w:id="0"/>
      <w:bookmarkEnd w:id="1"/>
    </w:p>
    <w:p w14:paraId="449739B3">
      <w:pPr>
        <w:ind w:firstLine="560"/>
        <w:rPr>
          <w:rFonts w:ascii="Times New Roman" w:hAnsi="Times New Roman"/>
          <w:color w:val="auto"/>
          <w:szCs w:val="28"/>
          <w:highlight w:val="none"/>
          <w:u w:val="single"/>
        </w:rPr>
      </w:pPr>
      <w:bookmarkStart w:id="2" w:name="_Hlk184023984"/>
      <w:r>
        <w:rPr>
          <w:rFonts w:ascii="Times New Roman" w:hAnsi="Times New Roman"/>
          <w:color w:val="auto"/>
          <w:szCs w:val="28"/>
          <w:highlight w:val="none"/>
        </w:rPr>
        <w:t>重庆华龙网集团股份有限公司（以下简称“采购人”）对</w:t>
      </w:r>
      <w:r>
        <w:rPr>
          <w:rFonts w:hint="eastAsia" w:ascii="Times New Roman" w:hAnsi="Times New Roman"/>
          <w:color w:val="auto"/>
          <w:szCs w:val="28"/>
          <w:highlight w:val="none"/>
          <w:u w:val="single"/>
        </w:rPr>
        <w:t>“党建·数智立法”应用信息安全服务</w:t>
      </w:r>
      <w:r>
        <w:rPr>
          <w:rFonts w:ascii="Times New Roman" w:hAnsi="Times New Roman"/>
          <w:color w:val="auto"/>
          <w:szCs w:val="28"/>
          <w:highlight w:val="none"/>
          <w:u w:val="single"/>
        </w:rPr>
        <w:t>项目</w:t>
      </w:r>
      <w:r>
        <w:rPr>
          <w:rFonts w:ascii="Times New Roman" w:hAnsi="Times New Roman"/>
          <w:color w:val="auto"/>
          <w:szCs w:val="28"/>
          <w:highlight w:val="none"/>
        </w:rPr>
        <w:t>面向社会进行竞争性比选采购。欢迎有资格的供应商前来参与比选。</w:t>
      </w:r>
    </w:p>
    <w:p w14:paraId="788D5307">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3" w:name="_Toc31682"/>
      <w:bookmarkStart w:id="4" w:name="_Toc105081899"/>
      <w:bookmarkStart w:id="5" w:name="_Toc29938"/>
      <w:bookmarkStart w:id="6" w:name="_Toc1116"/>
      <w:bookmarkStart w:id="7" w:name="_Toc25038"/>
      <w:r>
        <w:rPr>
          <w:rFonts w:ascii="Times New Roman" w:hAnsi="Times New Roman" w:eastAsia="方正黑体_GBK" w:cs="Times New Roman"/>
          <w:color w:val="auto"/>
          <w:sz w:val="28"/>
          <w:szCs w:val="20"/>
          <w:highlight w:val="none"/>
        </w:rPr>
        <w:t>一、竞争性比选内容</w:t>
      </w:r>
      <w:bookmarkEnd w:id="3"/>
      <w:bookmarkEnd w:id="4"/>
      <w:bookmarkEnd w:id="5"/>
      <w:bookmarkEnd w:id="6"/>
      <w:bookmarkEnd w:id="7"/>
    </w:p>
    <w:tbl>
      <w:tblPr>
        <w:tblStyle w:val="17"/>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1601"/>
        <w:gridCol w:w="1460"/>
        <w:gridCol w:w="2861"/>
      </w:tblGrid>
      <w:tr w14:paraId="5435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458" w:type="dxa"/>
            <w:tcBorders>
              <w:top w:val="single" w:color="auto" w:sz="4" w:space="0"/>
              <w:left w:val="single" w:color="auto" w:sz="4" w:space="0"/>
              <w:right w:val="single" w:color="auto" w:sz="4" w:space="0"/>
            </w:tcBorders>
            <w:vAlign w:val="center"/>
          </w:tcPr>
          <w:p w14:paraId="60B72CED">
            <w:pPr>
              <w:widowControl/>
              <w:spacing w:line="400" w:lineRule="exact"/>
              <w:ind w:firstLine="0" w:firstLineChars="0"/>
              <w:jc w:val="center"/>
              <w:rPr>
                <w:rFonts w:ascii="Times New Roman" w:hAnsi="Times New Roman" w:eastAsia="仿宋"/>
                <w:b/>
                <w:bCs/>
                <w:color w:val="auto"/>
                <w:kern w:val="0"/>
                <w:szCs w:val="28"/>
                <w:highlight w:val="none"/>
              </w:rPr>
            </w:pPr>
            <w:r>
              <w:rPr>
                <w:rFonts w:ascii="Times New Roman" w:hAnsi="Times New Roman" w:eastAsia="仿宋"/>
                <w:b/>
                <w:bCs/>
                <w:color w:val="auto"/>
                <w:kern w:val="0"/>
                <w:szCs w:val="28"/>
                <w:highlight w:val="none"/>
              </w:rPr>
              <w:t>项目名称</w:t>
            </w:r>
          </w:p>
        </w:tc>
        <w:tc>
          <w:tcPr>
            <w:tcW w:w="1601" w:type="dxa"/>
            <w:tcBorders>
              <w:top w:val="single" w:color="auto" w:sz="4" w:space="0"/>
              <w:left w:val="single" w:color="auto" w:sz="4" w:space="0"/>
              <w:right w:val="single" w:color="auto" w:sz="4" w:space="0"/>
            </w:tcBorders>
            <w:vAlign w:val="center"/>
          </w:tcPr>
          <w:p w14:paraId="6E4363D3">
            <w:pPr>
              <w:widowControl/>
              <w:spacing w:line="400" w:lineRule="exact"/>
              <w:ind w:firstLine="0" w:firstLineChars="0"/>
              <w:jc w:val="center"/>
              <w:rPr>
                <w:rFonts w:ascii="Times New Roman" w:hAnsi="Times New Roman" w:eastAsia="仿宋"/>
                <w:b/>
                <w:bCs/>
                <w:color w:val="auto"/>
                <w:kern w:val="0"/>
                <w:szCs w:val="28"/>
                <w:highlight w:val="none"/>
              </w:rPr>
            </w:pPr>
            <w:r>
              <w:rPr>
                <w:rFonts w:ascii="Times New Roman" w:hAnsi="Times New Roman" w:eastAsia="仿宋"/>
                <w:b/>
                <w:bCs/>
                <w:color w:val="auto"/>
                <w:kern w:val="0"/>
                <w:szCs w:val="28"/>
                <w:highlight w:val="none"/>
              </w:rPr>
              <w:t>采购预算</w:t>
            </w:r>
          </w:p>
          <w:p w14:paraId="2A598CCA">
            <w:pPr>
              <w:spacing w:line="400" w:lineRule="exact"/>
              <w:ind w:firstLine="0" w:firstLineChars="0"/>
              <w:jc w:val="center"/>
              <w:rPr>
                <w:rFonts w:ascii="Times New Roman" w:hAnsi="Times New Roman" w:eastAsia="仿宋"/>
                <w:b/>
                <w:bCs/>
                <w:color w:val="auto"/>
                <w:kern w:val="0"/>
                <w:szCs w:val="28"/>
                <w:highlight w:val="none"/>
              </w:rPr>
            </w:pPr>
            <w:r>
              <w:rPr>
                <w:rFonts w:ascii="Times New Roman" w:hAnsi="Times New Roman" w:eastAsia="仿宋"/>
                <w:b/>
                <w:bCs/>
                <w:color w:val="auto"/>
                <w:kern w:val="0"/>
                <w:szCs w:val="28"/>
                <w:highlight w:val="none"/>
              </w:rPr>
              <w:t>（万元）</w:t>
            </w:r>
          </w:p>
        </w:tc>
        <w:tc>
          <w:tcPr>
            <w:tcW w:w="1460" w:type="dxa"/>
            <w:tcBorders>
              <w:top w:val="single" w:color="auto" w:sz="4" w:space="0"/>
              <w:left w:val="single" w:color="auto" w:sz="4" w:space="0"/>
              <w:right w:val="single" w:color="auto" w:sz="4" w:space="0"/>
            </w:tcBorders>
            <w:vAlign w:val="center"/>
          </w:tcPr>
          <w:p w14:paraId="487AF407">
            <w:pPr>
              <w:spacing w:line="400" w:lineRule="exact"/>
              <w:ind w:firstLine="0" w:firstLineChars="0"/>
              <w:jc w:val="center"/>
              <w:rPr>
                <w:rFonts w:ascii="Times New Roman" w:hAnsi="Times New Roman" w:eastAsia="仿宋"/>
                <w:color w:val="auto"/>
                <w:szCs w:val="28"/>
                <w:highlight w:val="none"/>
              </w:rPr>
            </w:pPr>
            <w:r>
              <w:rPr>
                <w:rFonts w:ascii="Times New Roman" w:hAnsi="Times New Roman" w:eastAsia="仿宋"/>
                <w:b/>
                <w:bCs/>
                <w:color w:val="auto"/>
                <w:kern w:val="0"/>
                <w:szCs w:val="28"/>
                <w:highlight w:val="none"/>
              </w:rPr>
              <w:t>成交数量</w:t>
            </w:r>
          </w:p>
          <w:p w14:paraId="2FF097CC">
            <w:pPr>
              <w:spacing w:line="400" w:lineRule="exact"/>
              <w:ind w:firstLine="0" w:firstLineChars="0"/>
              <w:jc w:val="center"/>
              <w:rPr>
                <w:rFonts w:ascii="Times New Roman" w:hAnsi="Times New Roman" w:eastAsia="仿宋"/>
                <w:b/>
                <w:bCs/>
                <w:color w:val="auto"/>
                <w:kern w:val="0"/>
                <w:szCs w:val="28"/>
                <w:highlight w:val="none"/>
              </w:rPr>
            </w:pPr>
            <w:r>
              <w:rPr>
                <w:rFonts w:ascii="Times New Roman" w:hAnsi="Times New Roman" w:eastAsia="仿宋"/>
                <w:b/>
                <w:bCs/>
                <w:color w:val="auto"/>
                <w:kern w:val="0"/>
                <w:szCs w:val="28"/>
                <w:highlight w:val="none"/>
              </w:rPr>
              <w:t>（名）</w:t>
            </w:r>
          </w:p>
        </w:tc>
        <w:tc>
          <w:tcPr>
            <w:tcW w:w="2861" w:type="dxa"/>
            <w:tcBorders>
              <w:top w:val="single" w:color="auto" w:sz="4" w:space="0"/>
              <w:left w:val="single" w:color="auto" w:sz="4" w:space="0"/>
              <w:right w:val="single" w:color="auto" w:sz="4" w:space="0"/>
            </w:tcBorders>
            <w:vAlign w:val="center"/>
          </w:tcPr>
          <w:p w14:paraId="3BFC2C20">
            <w:pPr>
              <w:spacing w:line="400" w:lineRule="exact"/>
              <w:ind w:firstLine="0" w:firstLineChars="0"/>
              <w:jc w:val="center"/>
              <w:rPr>
                <w:rFonts w:ascii="Times New Roman" w:hAnsi="Times New Roman" w:eastAsia="仿宋"/>
                <w:b/>
                <w:bCs/>
                <w:color w:val="auto"/>
                <w:kern w:val="0"/>
                <w:szCs w:val="28"/>
                <w:highlight w:val="none"/>
              </w:rPr>
            </w:pPr>
            <w:r>
              <w:rPr>
                <w:rFonts w:ascii="Times New Roman" w:hAnsi="Times New Roman" w:eastAsia="仿宋"/>
                <w:b/>
                <w:bCs/>
                <w:color w:val="auto"/>
                <w:kern w:val="0"/>
                <w:szCs w:val="28"/>
                <w:highlight w:val="none"/>
              </w:rPr>
              <w:t>备注</w:t>
            </w:r>
          </w:p>
        </w:tc>
      </w:tr>
      <w:tr w14:paraId="6255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2458" w:type="dxa"/>
            <w:tcBorders>
              <w:top w:val="single" w:color="auto" w:sz="4" w:space="0"/>
              <w:left w:val="single" w:color="auto" w:sz="4" w:space="0"/>
              <w:right w:val="single" w:color="auto" w:sz="4" w:space="0"/>
            </w:tcBorders>
            <w:vAlign w:val="center"/>
          </w:tcPr>
          <w:p w14:paraId="271E93D0">
            <w:pPr>
              <w:widowControl/>
              <w:spacing w:line="400" w:lineRule="exact"/>
              <w:ind w:firstLine="0" w:firstLineChars="0"/>
              <w:jc w:val="center"/>
              <w:rPr>
                <w:rFonts w:ascii="Times New Roman" w:hAnsi="Times New Roman" w:eastAsia="仿宋"/>
                <w:color w:val="auto"/>
                <w:kern w:val="0"/>
                <w:sz w:val="24"/>
                <w:highlight w:val="none"/>
              </w:rPr>
            </w:pPr>
            <w:bookmarkStart w:id="8" w:name="_Hlk344477914"/>
            <w:r>
              <w:rPr>
                <w:rFonts w:hint="eastAsia" w:ascii="Times New Roman" w:hAnsi="Times New Roman" w:eastAsia="仿宋"/>
                <w:color w:val="auto"/>
                <w:kern w:val="0"/>
                <w:sz w:val="24"/>
                <w:highlight w:val="none"/>
              </w:rPr>
              <w:t>“党建·数智立法”应用信息安全服务</w:t>
            </w:r>
          </w:p>
        </w:tc>
        <w:tc>
          <w:tcPr>
            <w:tcW w:w="1601" w:type="dxa"/>
            <w:tcBorders>
              <w:top w:val="single" w:color="auto" w:sz="4" w:space="0"/>
              <w:left w:val="single" w:color="auto" w:sz="4" w:space="0"/>
              <w:right w:val="single" w:color="auto" w:sz="4" w:space="0"/>
            </w:tcBorders>
            <w:vAlign w:val="center"/>
          </w:tcPr>
          <w:p w14:paraId="5B194DC1">
            <w:pPr>
              <w:widowControl/>
              <w:spacing w:line="400" w:lineRule="exact"/>
              <w:ind w:firstLine="0" w:firstLineChars="0"/>
              <w:jc w:val="center"/>
              <w:rPr>
                <w:rFonts w:ascii="Times New Roman" w:hAnsi="Times New Roman" w:eastAsia="仿宋"/>
                <w:color w:val="auto"/>
                <w:kern w:val="0"/>
                <w:szCs w:val="28"/>
                <w:highlight w:val="none"/>
              </w:rPr>
            </w:pPr>
            <w:r>
              <w:rPr>
                <w:rFonts w:hint="eastAsia" w:ascii="Times New Roman" w:hAnsi="Times New Roman" w:eastAsia="仿宋"/>
                <w:color w:val="auto"/>
                <w:highlight w:val="none"/>
              </w:rPr>
              <w:t>55</w:t>
            </w:r>
            <w:r>
              <w:rPr>
                <w:rFonts w:ascii="Times New Roman" w:hAnsi="Times New Roman" w:eastAsia="仿宋"/>
                <w:color w:val="auto"/>
                <w:highlight w:val="none"/>
              </w:rPr>
              <w:t>.00</w:t>
            </w:r>
          </w:p>
        </w:tc>
        <w:tc>
          <w:tcPr>
            <w:tcW w:w="1460" w:type="dxa"/>
            <w:tcBorders>
              <w:top w:val="single" w:color="auto" w:sz="4" w:space="0"/>
              <w:left w:val="single" w:color="auto" w:sz="4" w:space="0"/>
              <w:right w:val="single" w:color="auto" w:sz="4" w:space="0"/>
            </w:tcBorders>
            <w:vAlign w:val="center"/>
          </w:tcPr>
          <w:p w14:paraId="74C8D1FB">
            <w:pPr>
              <w:widowControl/>
              <w:spacing w:line="400" w:lineRule="exact"/>
              <w:ind w:firstLine="0" w:firstLineChars="0"/>
              <w:jc w:val="center"/>
              <w:rPr>
                <w:rFonts w:ascii="Times New Roman" w:hAnsi="Times New Roman" w:eastAsia="仿宋"/>
                <w:color w:val="auto"/>
                <w:kern w:val="0"/>
                <w:szCs w:val="28"/>
                <w:highlight w:val="none"/>
              </w:rPr>
            </w:pPr>
            <w:r>
              <w:rPr>
                <w:rFonts w:ascii="Times New Roman" w:hAnsi="Times New Roman" w:eastAsia="仿宋"/>
                <w:color w:val="auto"/>
                <w:kern w:val="0"/>
                <w:szCs w:val="28"/>
                <w:highlight w:val="none"/>
              </w:rPr>
              <w:t>1</w:t>
            </w:r>
          </w:p>
        </w:tc>
        <w:tc>
          <w:tcPr>
            <w:tcW w:w="2861" w:type="dxa"/>
            <w:tcBorders>
              <w:top w:val="single" w:color="auto" w:sz="4" w:space="0"/>
              <w:left w:val="single" w:color="auto" w:sz="4" w:space="0"/>
              <w:right w:val="single" w:color="auto" w:sz="4" w:space="0"/>
            </w:tcBorders>
            <w:vAlign w:val="center"/>
          </w:tcPr>
          <w:p w14:paraId="572C8776">
            <w:pPr>
              <w:widowControl/>
              <w:spacing w:line="400" w:lineRule="exact"/>
              <w:ind w:firstLine="0" w:firstLineChars="0"/>
              <w:jc w:val="center"/>
              <w:rPr>
                <w:rFonts w:ascii="Times New Roman" w:hAnsi="Times New Roman" w:eastAsia="仿宋"/>
                <w:b/>
                <w:color w:val="auto"/>
                <w:kern w:val="0"/>
                <w:szCs w:val="28"/>
                <w:highlight w:val="none"/>
              </w:rPr>
            </w:pPr>
            <w:r>
              <w:rPr>
                <w:rFonts w:ascii="Times New Roman" w:hAnsi="Times New Roman" w:eastAsia="仿宋"/>
                <w:color w:val="auto"/>
                <w:sz w:val="24"/>
                <w:highlight w:val="none"/>
              </w:rPr>
              <w:t>主要服务类型详见“第二篇  项目技术/服务需求”</w:t>
            </w:r>
          </w:p>
        </w:tc>
      </w:tr>
      <w:bookmarkEnd w:id="8"/>
    </w:tbl>
    <w:p w14:paraId="0C1B29DF">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9" w:name="_Toc105081900"/>
      <w:bookmarkStart w:id="10" w:name="_Toc19104"/>
      <w:bookmarkStart w:id="11" w:name="_Toc9326"/>
      <w:bookmarkStart w:id="12" w:name="_Toc28662"/>
      <w:bookmarkStart w:id="13" w:name="_Toc22473"/>
      <w:r>
        <w:rPr>
          <w:rFonts w:ascii="Times New Roman" w:hAnsi="Times New Roman" w:eastAsia="方正黑体_GBK" w:cs="Times New Roman"/>
          <w:color w:val="auto"/>
          <w:sz w:val="28"/>
          <w:szCs w:val="20"/>
          <w:highlight w:val="none"/>
        </w:rPr>
        <w:t>二、资金来源</w:t>
      </w:r>
      <w:bookmarkEnd w:id="9"/>
      <w:bookmarkEnd w:id="10"/>
    </w:p>
    <w:p w14:paraId="09220FA1">
      <w:pPr>
        <w:ind w:firstLine="560"/>
        <w:rPr>
          <w:rFonts w:ascii="Times New Roman" w:hAnsi="Times New Roman"/>
          <w:color w:val="auto"/>
          <w:szCs w:val="28"/>
          <w:highlight w:val="none"/>
        </w:rPr>
      </w:pPr>
      <w:r>
        <w:rPr>
          <w:rFonts w:ascii="Times New Roman" w:hAnsi="Times New Roman"/>
          <w:color w:val="auto"/>
          <w:szCs w:val="28"/>
          <w:highlight w:val="none"/>
        </w:rPr>
        <w:t>业主自筹</w:t>
      </w:r>
    </w:p>
    <w:p w14:paraId="7ABE4F21">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4" w:name="_Toc3950"/>
      <w:bookmarkStart w:id="15" w:name="_Toc105081901"/>
      <w:r>
        <w:rPr>
          <w:rFonts w:ascii="Times New Roman" w:hAnsi="Times New Roman" w:eastAsia="方正黑体_GBK" w:cs="Times New Roman"/>
          <w:color w:val="auto"/>
          <w:sz w:val="28"/>
          <w:szCs w:val="20"/>
          <w:highlight w:val="none"/>
        </w:rPr>
        <w:t>三、供应商资格要求</w:t>
      </w:r>
      <w:bookmarkEnd w:id="11"/>
      <w:bookmarkEnd w:id="12"/>
      <w:bookmarkEnd w:id="13"/>
      <w:bookmarkEnd w:id="14"/>
      <w:bookmarkEnd w:id="15"/>
    </w:p>
    <w:p w14:paraId="71EE954E">
      <w:pPr>
        <w:ind w:firstLine="560"/>
        <w:rPr>
          <w:rFonts w:ascii="Times New Roman" w:hAnsi="Times New Roman"/>
          <w:color w:val="auto"/>
          <w:szCs w:val="28"/>
          <w:highlight w:val="none"/>
        </w:rPr>
      </w:pPr>
      <w:r>
        <w:rPr>
          <w:rFonts w:ascii="Times New Roman" w:hAnsi="Times New Roman"/>
          <w:color w:val="auto"/>
          <w:szCs w:val="28"/>
          <w:highlight w:val="none"/>
        </w:rPr>
        <w:t>供应商是指向采购人提供服务或者货物的法人、其他组织或者自然人。合格的供应商应首先符合政府采购法第二十二条规定的基本资格条件。</w:t>
      </w:r>
    </w:p>
    <w:p w14:paraId="5C6B9C78">
      <w:pPr>
        <w:ind w:firstLine="560"/>
        <w:rPr>
          <w:rFonts w:ascii="Times New Roman" w:hAnsi="Times New Roman"/>
          <w:color w:val="auto"/>
          <w:szCs w:val="28"/>
          <w:highlight w:val="none"/>
        </w:rPr>
      </w:pPr>
      <w:r>
        <w:rPr>
          <w:rFonts w:ascii="Times New Roman" w:hAnsi="Times New Roman"/>
          <w:color w:val="auto"/>
          <w:szCs w:val="28"/>
          <w:highlight w:val="none"/>
        </w:rPr>
        <w:t>1.具有独立承担民事责任的能力。</w:t>
      </w:r>
    </w:p>
    <w:p w14:paraId="275E9C55">
      <w:pPr>
        <w:ind w:firstLine="560"/>
        <w:rPr>
          <w:rFonts w:hint="eastAsia" w:ascii="Times New Roman" w:hAnsi="Times New Roman" w:eastAsia="方正仿宋_GBK"/>
          <w:color w:val="auto"/>
          <w:szCs w:val="28"/>
          <w:highlight w:val="none"/>
          <w:lang w:val="en-US" w:eastAsia="zh-CN"/>
        </w:rPr>
      </w:pPr>
      <w:r>
        <w:rPr>
          <w:rFonts w:ascii="Times New Roman" w:hAnsi="Times New Roman"/>
          <w:color w:val="auto"/>
          <w:szCs w:val="28"/>
          <w:highlight w:val="none"/>
        </w:rPr>
        <w:t>2.具有良好的商业信誉和健全的财务会计制度。</w:t>
      </w:r>
    </w:p>
    <w:p w14:paraId="73A04291">
      <w:pPr>
        <w:ind w:firstLine="560"/>
        <w:rPr>
          <w:rFonts w:ascii="Times New Roman" w:hAnsi="Times New Roman"/>
          <w:color w:val="auto"/>
          <w:szCs w:val="28"/>
          <w:highlight w:val="none"/>
        </w:rPr>
      </w:pPr>
      <w:r>
        <w:rPr>
          <w:rFonts w:ascii="Times New Roman" w:hAnsi="Times New Roman"/>
          <w:color w:val="auto"/>
          <w:szCs w:val="28"/>
          <w:highlight w:val="none"/>
        </w:rPr>
        <w:t>3.有依法缴纳税收和社会保障资金的良好记录。</w:t>
      </w:r>
    </w:p>
    <w:p w14:paraId="66269EC6">
      <w:pPr>
        <w:ind w:firstLine="560"/>
        <w:rPr>
          <w:rFonts w:ascii="Times New Roman" w:hAnsi="Times New Roman"/>
          <w:color w:val="auto"/>
          <w:szCs w:val="28"/>
          <w:highlight w:val="none"/>
        </w:rPr>
      </w:pPr>
      <w:r>
        <w:rPr>
          <w:rFonts w:ascii="Times New Roman" w:hAnsi="Times New Roman"/>
          <w:color w:val="auto"/>
          <w:szCs w:val="28"/>
          <w:highlight w:val="none"/>
        </w:rPr>
        <w:t>4</w:t>
      </w:r>
      <w:r>
        <w:rPr>
          <w:rFonts w:hint="eastAsia" w:ascii="Times New Roman" w:hAnsi="Times New Roman"/>
          <w:color w:val="auto"/>
          <w:szCs w:val="28"/>
          <w:highlight w:val="none"/>
        </w:rPr>
        <w:t>.</w:t>
      </w:r>
      <w:r>
        <w:rPr>
          <w:rFonts w:ascii="Times New Roman" w:hAnsi="Times New Roman"/>
          <w:color w:val="auto"/>
          <w:szCs w:val="28"/>
          <w:highlight w:val="none"/>
        </w:rPr>
        <w:t>具有履行合同所必需的设备和专业技术能力。</w:t>
      </w:r>
    </w:p>
    <w:p w14:paraId="72A5F38F">
      <w:pPr>
        <w:ind w:firstLine="560"/>
        <w:rPr>
          <w:rFonts w:ascii="Times New Roman" w:hAnsi="Times New Roman"/>
          <w:color w:val="auto"/>
          <w:szCs w:val="28"/>
          <w:highlight w:val="none"/>
        </w:rPr>
      </w:pPr>
      <w:r>
        <w:rPr>
          <w:rFonts w:ascii="Times New Roman" w:hAnsi="Times New Roman"/>
          <w:color w:val="auto"/>
          <w:szCs w:val="28"/>
          <w:highlight w:val="none"/>
        </w:rPr>
        <w:t>5.参加本次比选前三年内，在经营活动中没有重大违法记录。</w:t>
      </w:r>
    </w:p>
    <w:p w14:paraId="637DA8C9">
      <w:pPr>
        <w:ind w:firstLine="560"/>
        <w:rPr>
          <w:rFonts w:ascii="Times New Roman" w:hAnsi="Times New Roman"/>
          <w:color w:val="auto"/>
          <w:szCs w:val="28"/>
          <w:highlight w:val="none"/>
        </w:rPr>
      </w:pPr>
      <w:r>
        <w:rPr>
          <w:rFonts w:ascii="Times New Roman" w:hAnsi="Times New Roman"/>
          <w:color w:val="auto"/>
          <w:szCs w:val="28"/>
          <w:highlight w:val="none"/>
        </w:rPr>
        <w:t>6</w:t>
      </w:r>
      <w:r>
        <w:rPr>
          <w:rFonts w:hint="eastAsia" w:ascii="Times New Roman" w:hAnsi="Times New Roman"/>
          <w:color w:val="auto"/>
          <w:szCs w:val="28"/>
          <w:highlight w:val="none"/>
        </w:rPr>
        <w:t>.</w:t>
      </w:r>
      <w:r>
        <w:rPr>
          <w:rFonts w:ascii="Times New Roman" w:hAnsi="Times New Roman"/>
          <w:color w:val="auto"/>
          <w:szCs w:val="28"/>
          <w:highlight w:val="none"/>
        </w:rPr>
        <w:t>参选人股东非华龙网员工及配偶、员工子女及其配偶。</w:t>
      </w:r>
    </w:p>
    <w:p w14:paraId="66C12054">
      <w:pPr>
        <w:ind w:firstLine="560"/>
        <w:rPr>
          <w:rFonts w:ascii="Times New Roman" w:hAnsi="Times New Roman"/>
          <w:color w:val="auto"/>
          <w:szCs w:val="28"/>
          <w:highlight w:val="none"/>
        </w:rPr>
      </w:pPr>
      <w:r>
        <w:rPr>
          <w:rFonts w:ascii="Times New Roman" w:hAnsi="Times New Roman"/>
          <w:color w:val="auto"/>
          <w:szCs w:val="28"/>
          <w:highlight w:val="none"/>
        </w:rPr>
        <w:t>7.单位负责人为同一人或者存在直接控股、管理关系的不同比选方，不得参加同一合同项（分包）下的比选活动，否则均为无效。</w:t>
      </w:r>
    </w:p>
    <w:p w14:paraId="1A021348">
      <w:pPr>
        <w:ind w:firstLine="560"/>
        <w:rPr>
          <w:rFonts w:ascii="Times New Roman" w:hAnsi="Times New Roman"/>
          <w:color w:val="auto"/>
          <w:szCs w:val="28"/>
          <w:highlight w:val="none"/>
        </w:rPr>
      </w:pPr>
      <w:r>
        <w:rPr>
          <w:rFonts w:ascii="Times New Roman" w:hAnsi="Times New Roman"/>
          <w:color w:val="auto"/>
          <w:szCs w:val="28"/>
          <w:highlight w:val="none"/>
        </w:rPr>
        <w:t>8.诚信声明。</w:t>
      </w:r>
    </w:p>
    <w:p w14:paraId="5CAA5FAF">
      <w:pPr>
        <w:keepNext/>
        <w:keepLines/>
        <w:adjustRightInd w:val="0"/>
        <w:snapToGrid w:val="0"/>
        <w:ind w:left="560" w:firstLine="0" w:firstLineChars="0"/>
        <w:jc w:val="left"/>
        <w:outlineLvl w:val="1"/>
        <w:rPr>
          <w:rFonts w:ascii="Times New Roman" w:hAnsi="Times New Roman" w:eastAsia="方正黑体_GBK"/>
          <w:color w:val="000000"/>
          <w:szCs w:val="20"/>
          <w:highlight w:val="none"/>
        </w:rPr>
      </w:pPr>
      <w:bookmarkStart w:id="16" w:name="_Toc23574"/>
      <w:bookmarkStart w:id="17" w:name="_Toc50574137"/>
      <w:bookmarkStart w:id="18" w:name="_Toc105081904"/>
      <w:r>
        <w:rPr>
          <w:rFonts w:hint="eastAsia" w:ascii="Times New Roman" w:hAnsi="Times New Roman" w:eastAsia="方正黑体_GBK"/>
          <w:color w:val="000000"/>
          <w:szCs w:val="20"/>
          <w:highlight w:val="none"/>
        </w:rPr>
        <w:t>四、</w:t>
      </w:r>
      <w:r>
        <w:rPr>
          <w:rFonts w:ascii="Times New Roman" w:hAnsi="Times New Roman" w:eastAsia="方正黑体_GBK"/>
          <w:color w:val="000000"/>
          <w:szCs w:val="20"/>
          <w:highlight w:val="none"/>
        </w:rPr>
        <w:t>比选公告发布</w:t>
      </w:r>
    </w:p>
    <w:p w14:paraId="0F25B510">
      <w:pPr>
        <w:tabs>
          <w:tab w:val="left" w:pos="6930"/>
        </w:tabs>
        <w:adjustRightInd w:val="0"/>
        <w:snapToGrid w:val="0"/>
        <w:ind w:firstLine="560"/>
        <w:outlineLvl w:val="1"/>
        <w:rPr>
          <w:rFonts w:ascii="Times New Roman" w:hAnsi="Times New Roman"/>
          <w:color w:val="000000"/>
          <w:highlight w:val="none"/>
        </w:rPr>
      </w:pPr>
      <w:r>
        <w:rPr>
          <w:rFonts w:ascii="Times New Roman" w:hAnsi="Times New Roman"/>
          <w:color w:val="000000"/>
          <w:highlight w:val="none"/>
        </w:rPr>
        <w:t>1.发布网站：拟在集团（总台）所属重庆华龙网（http://www.cqnews.net）、</w:t>
      </w:r>
      <w:r>
        <w:rPr>
          <w:rFonts w:hint="eastAsia" w:ascii="Times New Roman" w:hAnsi="Times New Roman"/>
          <w:color w:val="000000"/>
          <w:highlight w:val="none"/>
        </w:rPr>
        <w:t>阳光重庆（www.ygcq.com.cn）网站、</w:t>
      </w:r>
      <w:r>
        <w:rPr>
          <w:rFonts w:ascii="Times New Roman" w:hAnsi="Times New Roman"/>
          <w:color w:val="000000"/>
          <w:highlight w:val="none"/>
        </w:rPr>
        <w:t>第1眼app发布比选公告及结果。</w:t>
      </w:r>
    </w:p>
    <w:p w14:paraId="349FDD49">
      <w:pPr>
        <w:tabs>
          <w:tab w:val="left" w:pos="6930"/>
        </w:tabs>
        <w:adjustRightInd w:val="0"/>
        <w:snapToGrid w:val="0"/>
        <w:ind w:firstLine="560"/>
        <w:outlineLvl w:val="1"/>
        <w:rPr>
          <w:rFonts w:ascii="Times New Roman" w:hAnsi="Times New Roman"/>
          <w:color w:val="000000"/>
          <w:highlight w:val="none"/>
        </w:rPr>
      </w:pPr>
      <w:r>
        <w:rPr>
          <w:rFonts w:ascii="Times New Roman" w:hAnsi="Times New Roman"/>
          <w:color w:val="000000"/>
          <w:highlight w:val="none"/>
        </w:rPr>
        <w:t>2.比选公告发布时间：202</w:t>
      </w:r>
      <w:r>
        <w:rPr>
          <w:rFonts w:hint="eastAsia" w:ascii="Times New Roman" w:hAnsi="Times New Roman"/>
          <w:color w:val="000000"/>
          <w:highlight w:val="none"/>
        </w:rPr>
        <w:t>6</w:t>
      </w:r>
      <w:r>
        <w:rPr>
          <w:rFonts w:ascii="Times New Roman" w:hAnsi="Times New Roman"/>
          <w:color w:val="000000"/>
          <w:highlight w:val="none"/>
        </w:rPr>
        <w:t>年</w:t>
      </w:r>
      <w:r>
        <w:rPr>
          <w:rFonts w:ascii="Times New Roman" w:hAnsi="Times New Roman"/>
          <w:color w:val="000000"/>
          <w:szCs w:val="28"/>
          <w:highlight w:val="none"/>
        </w:rPr>
        <w:t>3</w:t>
      </w:r>
      <w:r>
        <w:rPr>
          <w:rFonts w:ascii="Times New Roman" w:hAnsi="Times New Roman"/>
          <w:color w:val="000000"/>
          <w:highlight w:val="none"/>
        </w:rPr>
        <w:t>月</w:t>
      </w:r>
      <w:r>
        <w:rPr>
          <w:rFonts w:ascii="Times New Roman" w:hAnsi="Times New Roman"/>
          <w:color w:val="000000"/>
          <w:szCs w:val="28"/>
          <w:highlight w:val="none"/>
        </w:rPr>
        <w:t>9</w:t>
      </w:r>
      <w:r>
        <w:rPr>
          <w:rFonts w:ascii="Times New Roman" w:hAnsi="Times New Roman"/>
          <w:color w:val="000000"/>
          <w:highlight w:val="none"/>
        </w:rPr>
        <w:t>日，发布周期：</w:t>
      </w:r>
      <w:r>
        <w:rPr>
          <w:rFonts w:ascii="Times New Roman" w:hAnsi="Times New Roman"/>
          <w:color w:val="000000"/>
          <w:szCs w:val="28"/>
          <w:highlight w:val="none"/>
        </w:rPr>
        <w:t>3</w:t>
      </w:r>
      <w:r>
        <w:rPr>
          <w:rFonts w:ascii="Times New Roman" w:hAnsi="Times New Roman"/>
          <w:color w:val="000000"/>
          <w:highlight w:val="none"/>
        </w:rPr>
        <w:t>天</w:t>
      </w:r>
      <w:r>
        <w:rPr>
          <w:rFonts w:hint="eastAsia" w:ascii="Times New Roman" w:hAnsi="Times New Roman"/>
          <w:color w:val="000000"/>
          <w:highlight w:val="none"/>
        </w:rPr>
        <w:t>。</w:t>
      </w:r>
    </w:p>
    <w:p w14:paraId="73F91561">
      <w:pPr>
        <w:keepNext/>
        <w:keepLines/>
        <w:adjustRightInd w:val="0"/>
        <w:snapToGrid w:val="0"/>
        <w:ind w:firstLine="560" w:firstLineChars="0"/>
        <w:jc w:val="left"/>
        <w:outlineLvl w:val="1"/>
        <w:rPr>
          <w:rFonts w:ascii="Times New Roman" w:hAnsi="Times New Roman" w:eastAsia="方正黑体_GBK"/>
          <w:color w:val="000000"/>
          <w:szCs w:val="20"/>
          <w:highlight w:val="none"/>
        </w:rPr>
      </w:pPr>
      <w:r>
        <w:rPr>
          <w:rFonts w:hint="eastAsia" w:ascii="Times New Roman" w:hAnsi="Times New Roman" w:eastAsia="方正黑体_GBK"/>
          <w:color w:val="000000"/>
          <w:szCs w:val="20"/>
          <w:highlight w:val="none"/>
        </w:rPr>
        <w:t>五、</w:t>
      </w:r>
      <w:r>
        <w:rPr>
          <w:rFonts w:ascii="Times New Roman" w:hAnsi="Times New Roman" w:eastAsia="方正黑体_GBK"/>
          <w:color w:val="000000"/>
          <w:szCs w:val="20"/>
          <w:highlight w:val="none"/>
        </w:rPr>
        <w:t>比选文件的获取及报名</w:t>
      </w:r>
    </w:p>
    <w:p w14:paraId="35B61E9A">
      <w:pPr>
        <w:tabs>
          <w:tab w:val="left" w:pos="6930"/>
        </w:tabs>
        <w:adjustRightInd w:val="0"/>
        <w:snapToGrid w:val="0"/>
        <w:ind w:firstLine="560"/>
        <w:outlineLvl w:val="1"/>
        <w:rPr>
          <w:rFonts w:ascii="Times New Roman" w:hAnsi="Times New Roman"/>
          <w:color w:val="000000"/>
          <w:highlight w:val="none"/>
        </w:rPr>
      </w:pPr>
      <w:r>
        <w:rPr>
          <w:rFonts w:ascii="Times New Roman" w:hAnsi="Times New Roman"/>
          <w:color w:val="000000"/>
          <w:highlight w:val="none"/>
        </w:rPr>
        <w:t>1.报名时间</w:t>
      </w:r>
      <w:r>
        <w:rPr>
          <w:rFonts w:hint="eastAsia" w:ascii="Times New Roman" w:hAnsi="Times New Roman"/>
          <w:color w:val="000000"/>
          <w:highlight w:val="none"/>
        </w:rPr>
        <w:t>：</w:t>
      </w:r>
      <w:r>
        <w:rPr>
          <w:rFonts w:ascii="Times New Roman" w:hAnsi="Times New Roman"/>
          <w:color w:val="000000"/>
          <w:highlight w:val="none"/>
        </w:rPr>
        <w:t>202</w:t>
      </w:r>
      <w:r>
        <w:rPr>
          <w:rFonts w:hint="eastAsia" w:ascii="Times New Roman" w:hAnsi="Times New Roman"/>
          <w:color w:val="000000"/>
          <w:highlight w:val="none"/>
        </w:rPr>
        <w:t>6</w:t>
      </w:r>
      <w:r>
        <w:rPr>
          <w:rFonts w:ascii="Times New Roman" w:hAnsi="Times New Roman"/>
          <w:color w:val="000000"/>
          <w:highlight w:val="none"/>
        </w:rPr>
        <w:t>年</w:t>
      </w:r>
      <w:r>
        <w:rPr>
          <w:rFonts w:ascii="Times New Roman" w:hAnsi="Times New Roman"/>
          <w:color w:val="000000"/>
          <w:szCs w:val="28"/>
          <w:highlight w:val="none"/>
        </w:rPr>
        <w:t>3</w:t>
      </w:r>
      <w:r>
        <w:rPr>
          <w:rFonts w:ascii="Times New Roman" w:hAnsi="Times New Roman"/>
          <w:color w:val="000000"/>
          <w:highlight w:val="none"/>
        </w:rPr>
        <w:t>月</w:t>
      </w:r>
      <w:r>
        <w:rPr>
          <w:rFonts w:ascii="Times New Roman" w:hAnsi="Times New Roman"/>
          <w:color w:val="000000"/>
          <w:szCs w:val="28"/>
          <w:highlight w:val="none"/>
        </w:rPr>
        <w:t>9</w:t>
      </w:r>
      <w:r>
        <w:rPr>
          <w:rFonts w:ascii="Times New Roman" w:hAnsi="Times New Roman"/>
          <w:color w:val="000000"/>
          <w:highlight w:val="none"/>
        </w:rPr>
        <w:t>日至</w:t>
      </w:r>
      <w:r>
        <w:rPr>
          <w:rFonts w:ascii="Times New Roman" w:hAnsi="Times New Roman"/>
          <w:color w:val="000000"/>
          <w:szCs w:val="28"/>
          <w:highlight w:val="none"/>
        </w:rPr>
        <w:t>3</w:t>
      </w:r>
      <w:r>
        <w:rPr>
          <w:rFonts w:ascii="Times New Roman" w:hAnsi="Times New Roman"/>
          <w:color w:val="000000"/>
          <w:highlight w:val="none"/>
        </w:rPr>
        <w:t>月</w:t>
      </w:r>
      <w:r>
        <w:rPr>
          <w:rFonts w:ascii="Times New Roman" w:hAnsi="Times New Roman"/>
          <w:color w:val="000000"/>
          <w:szCs w:val="28"/>
          <w:highlight w:val="none"/>
        </w:rPr>
        <w:t>11</w:t>
      </w:r>
      <w:r>
        <w:rPr>
          <w:rFonts w:ascii="Times New Roman" w:hAnsi="Times New Roman"/>
          <w:color w:val="000000"/>
          <w:highlight w:val="none"/>
        </w:rPr>
        <w:t>日17:00</w:t>
      </w:r>
      <w:r>
        <w:rPr>
          <w:rFonts w:hint="eastAsia" w:ascii="Times New Roman" w:hAnsi="Times New Roman"/>
          <w:color w:val="000000"/>
          <w:highlight w:val="none"/>
        </w:rPr>
        <w:t>时</w:t>
      </w:r>
    </w:p>
    <w:p w14:paraId="26C0D73C">
      <w:pPr>
        <w:ind w:firstLine="560"/>
        <w:rPr>
          <w:rFonts w:ascii="Times New Roman" w:hAnsi="Times New Roman"/>
          <w:color w:val="000000"/>
          <w:highlight w:val="none"/>
        </w:rPr>
      </w:pPr>
      <w:r>
        <w:rPr>
          <w:rFonts w:ascii="Times New Roman" w:hAnsi="Times New Roman"/>
          <w:color w:val="000000"/>
          <w:highlight w:val="none"/>
        </w:rPr>
        <w:t>2.报名及获取方式：拟参与</w:t>
      </w:r>
      <w:r>
        <w:rPr>
          <w:rFonts w:hint="eastAsia" w:ascii="Times New Roman" w:hAnsi="Times New Roman"/>
          <w:color w:val="000000"/>
          <w:highlight w:val="none"/>
        </w:rPr>
        <w:t>报名</w:t>
      </w:r>
      <w:r>
        <w:rPr>
          <w:rFonts w:ascii="Times New Roman" w:hAnsi="Times New Roman"/>
          <w:color w:val="000000"/>
          <w:highlight w:val="none"/>
        </w:rPr>
        <w:t>比选的供应商</w:t>
      </w:r>
      <w:r>
        <w:rPr>
          <w:rFonts w:hint="eastAsia" w:ascii="Times New Roman" w:hAnsi="Times New Roman"/>
          <w:color w:val="000000"/>
          <w:highlight w:val="none"/>
        </w:rPr>
        <w:t>在</w:t>
      </w:r>
      <w:r>
        <w:rPr>
          <w:rFonts w:ascii="Times New Roman" w:hAnsi="Times New Roman"/>
          <w:color w:val="000000"/>
          <w:highlight w:val="none"/>
        </w:rPr>
        <w:t>重庆华龙网（http://www.cqnews.net）首页、</w:t>
      </w:r>
      <w:r>
        <w:rPr>
          <w:rFonts w:hint="eastAsia" w:ascii="Times New Roman" w:hAnsi="Times New Roman"/>
          <w:color w:val="000000"/>
          <w:highlight w:val="none"/>
        </w:rPr>
        <w:t>阳光重庆（www.ygcq.com.cn）网站、</w:t>
      </w:r>
      <w:r>
        <w:rPr>
          <w:rFonts w:ascii="Times New Roman" w:hAnsi="Times New Roman"/>
          <w:color w:val="000000"/>
          <w:highlight w:val="none"/>
        </w:rPr>
        <w:t>第1眼app下载比选文件。同时需在比选报名截止时间前将参选人法定代表人身份证明书原件扫描件、法定代表人授权委托书原件扫描件、营业执照副本扫描件</w:t>
      </w:r>
      <w:r>
        <w:rPr>
          <w:rFonts w:hint="eastAsia" w:ascii="Times New Roman" w:hAnsi="Times New Roman"/>
          <w:color w:val="000000"/>
          <w:highlight w:val="none"/>
        </w:rPr>
        <w:t>，均</w:t>
      </w:r>
      <w:r>
        <w:rPr>
          <w:rFonts w:ascii="Times New Roman" w:hAnsi="Times New Roman"/>
          <w:color w:val="000000"/>
          <w:highlight w:val="none"/>
        </w:rPr>
        <w:t>加盖参选人公章发至邮箱hlwjgb@cqnews.net，方被视为报名成功。</w:t>
      </w:r>
    </w:p>
    <w:p w14:paraId="4F0DD1BE">
      <w:pPr>
        <w:tabs>
          <w:tab w:val="left" w:pos="6930"/>
        </w:tabs>
        <w:adjustRightInd w:val="0"/>
        <w:snapToGrid w:val="0"/>
        <w:ind w:firstLine="560"/>
        <w:outlineLvl w:val="1"/>
        <w:rPr>
          <w:rFonts w:ascii="Times New Roman" w:hAnsi="Times New Roman"/>
          <w:color w:val="000000"/>
          <w:highlight w:val="none"/>
        </w:rPr>
      </w:pPr>
      <w:r>
        <w:rPr>
          <w:rFonts w:ascii="Times New Roman" w:hAnsi="Times New Roman"/>
          <w:color w:val="000000"/>
          <w:highlight w:val="none"/>
        </w:rPr>
        <w:t>3.参选人在比选</w:t>
      </w:r>
      <w:r>
        <w:rPr>
          <w:rFonts w:hint="eastAsia" w:ascii="Times New Roman" w:hAnsi="Times New Roman"/>
          <w:color w:val="000000"/>
          <w:highlight w:val="none"/>
        </w:rPr>
        <w:t>报名期</w:t>
      </w:r>
      <w:r>
        <w:rPr>
          <w:rFonts w:ascii="Times New Roman" w:hAnsi="Times New Roman"/>
          <w:color w:val="000000"/>
          <w:highlight w:val="none"/>
        </w:rPr>
        <w:t>内报名，其参选文件才被接收。</w:t>
      </w:r>
    </w:p>
    <w:bookmarkEnd w:id="2"/>
    <w:bookmarkEnd w:id="16"/>
    <w:bookmarkEnd w:id="17"/>
    <w:bookmarkEnd w:id="18"/>
    <w:p w14:paraId="5F5E19F5">
      <w:pPr>
        <w:keepNext/>
        <w:keepLines/>
        <w:adjustRightInd w:val="0"/>
        <w:snapToGrid w:val="0"/>
        <w:ind w:left="560" w:firstLine="0" w:firstLineChars="0"/>
        <w:jc w:val="left"/>
        <w:outlineLvl w:val="1"/>
        <w:rPr>
          <w:rFonts w:ascii="Times New Roman" w:hAnsi="Times New Roman" w:eastAsia="方正黑体_GBK"/>
          <w:color w:val="000000"/>
          <w:szCs w:val="28"/>
          <w:highlight w:val="none"/>
        </w:rPr>
      </w:pPr>
      <w:bookmarkStart w:id="19" w:name="_Toc19219"/>
      <w:bookmarkStart w:id="20" w:name="_Toc32118"/>
      <w:bookmarkStart w:id="21" w:name="_Toc18645"/>
      <w:bookmarkStart w:id="22" w:name="_Toc4175"/>
      <w:bookmarkStart w:id="23" w:name="_Toc466546910"/>
      <w:bookmarkStart w:id="24" w:name="_Toc105081906"/>
      <w:bookmarkStart w:id="25" w:name="_Toc4400"/>
      <w:r>
        <w:rPr>
          <w:rFonts w:hint="eastAsia" w:ascii="Times New Roman" w:hAnsi="Times New Roman" w:eastAsia="方正黑体_GBK"/>
          <w:color w:val="000000"/>
          <w:szCs w:val="28"/>
          <w:highlight w:val="none"/>
        </w:rPr>
        <w:t>六、</w:t>
      </w:r>
      <w:r>
        <w:rPr>
          <w:rFonts w:ascii="Times New Roman" w:hAnsi="Times New Roman" w:eastAsia="方正黑体_GBK"/>
          <w:color w:val="000000"/>
          <w:szCs w:val="28"/>
          <w:highlight w:val="none"/>
        </w:rPr>
        <w:t>文件递送截止时间及地点</w:t>
      </w:r>
    </w:p>
    <w:p w14:paraId="3816BA99">
      <w:pPr>
        <w:ind w:firstLine="560"/>
        <w:rPr>
          <w:rFonts w:ascii="Times New Roman" w:hAnsi="Times New Roman"/>
          <w:color w:val="000000"/>
          <w:szCs w:val="28"/>
          <w:highlight w:val="none"/>
        </w:rPr>
      </w:pPr>
      <w:r>
        <w:rPr>
          <w:rFonts w:hint="eastAsia" w:ascii="Times New Roman" w:hAnsi="Times New Roman"/>
          <w:color w:val="000000"/>
          <w:szCs w:val="28"/>
          <w:highlight w:val="none"/>
        </w:rPr>
        <w:t>1</w:t>
      </w:r>
      <w:r>
        <w:rPr>
          <w:rFonts w:ascii="Times New Roman" w:hAnsi="Times New Roman"/>
          <w:color w:val="000000"/>
          <w:szCs w:val="28"/>
          <w:highlight w:val="none"/>
        </w:rPr>
        <w:t>.文件递送截止时间：202</w:t>
      </w:r>
      <w:r>
        <w:rPr>
          <w:rFonts w:hint="eastAsia" w:ascii="Times New Roman" w:hAnsi="Times New Roman"/>
          <w:color w:val="000000"/>
          <w:szCs w:val="28"/>
          <w:highlight w:val="none"/>
        </w:rPr>
        <w:t>6</w:t>
      </w:r>
      <w:r>
        <w:rPr>
          <w:rFonts w:ascii="Times New Roman" w:hAnsi="Times New Roman"/>
          <w:color w:val="000000"/>
          <w:szCs w:val="28"/>
          <w:highlight w:val="none"/>
        </w:rPr>
        <w:t>年3月12日14:30时（北京时间）。</w:t>
      </w:r>
    </w:p>
    <w:p w14:paraId="5B015D51">
      <w:pPr>
        <w:tabs>
          <w:tab w:val="center" w:pos="4535"/>
        </w:tabs>
        <w:snapToGrid w:val="0"/>
        <w:ind w:firstLine="560"/>
        <w:rPr>
          <w:rFonts w:ascii="Times New Roman" w:hAnsi="Times New Roman"/>
          <w:color w:val="000000"/>
          <w:szCs w:val="28"/>
          <w:highlight w:val="none"/>
        </w:rPr>
      </w:pPr>
      <w:r>
        <w:rPr>
          <w:rFonts w:hint="eastAsia" w:ascii="Times New Roman" w:hAnsi="Times New Roman"/>
          <w:color w:val="000000"/>
          <w:szCs w:val="28"/>
          <w:highlight w:val="none"/>
        </w:rPr>
        <w:t>2.</w:t>
      </w:r>
      <w:r>
        <w:rPr>
          <w:rFonts w:ascii="Times New Roman" w:hAnsi="Times New Roman"/>
          <w:color w:val="000000"/>
          <w:szCs w:val="28"/>
          <w:highlight w:val="none"/>
        </w:rPr>
        <w:t>文件递送地点：</w:t>
      </w:r>
      <w:r>
        <w:rPr>
          <w:rFonts w:hint="eastAsia" w:ascii="Times New Roman" w:hAnsi="Times New Roman"/>
          <w:color w:val="000000"/>
          <w:szCs w:val="28"/>
          <w:highlight w:val="none"/>
        </w:rPr>
        <w:t>重庆市两江新区金开大道西段106号互联网产业园10栋</w:t>
      </w:r>
      <w:r>
        <w:rPr>
          <w:rFonts w:ascii="Times New Roman" w:hAnsi="Times New Roman"/>
          <w:color w:val="000000"/>
          <w:szCs w:val="28"/>
          <w:highlight w:val="none"/>
        </w:rPr>
        <w:t>8</w:t>
      </w:r>
      <w:r>
        <w:rPr>
          <w:rFonts w:hint="eastAsia" w:ascii="Times New Roman" w:hAnsi="Times New Roman"/>
          <w:color w:val="000000"/>
          <w:szCs w:val="28"/>
          <w:highlight w:val="none"/>
        </w:rPr>
        <w:t>楼8</w:t>
      </w:r>
      <w:r>
        <w:rPr>
          <w:rFonts w:ascii="Times New Roman" w:hAnsi="Times New Roman"/>
          <w:color w:val="000000"/>
          <w:szCs w:val="28"/>
          <w:highlight w:val="none"/>
        </w:rPr>
        <w:t>14</w:t>
      </w:r>
      <w:r>
        <w:rPr>
          <w:rFonts w:hint="eastAsia" w:ascii="Times New Roman" w:hAnsi="Times New Roman"/>
          <w:color w:val="000000"/>
          <w:szCs w:val="28"/>
          <w:highlight w:val="none"/>
        </w:rPr>
        <w:t>会议室。</w:t>
      </w:r>
    </w:p>
    <w:p w14:paraId="5E65CF2E">
      <w:pPr>
        <w:tabs>
          <w:tab w:val="left" w:pos="6930"/>
        </w:tabs>
        <w:adjustRightInd w:val="0"/>
        <w:snapToGrid w:val="0"/>
        <w:ind w:firstLine="560"/>
        <w:outlineLvl w:val="1"/>
        <w:rPr>
          <w:rFonts w:ascii="Times New Roman" w:hAnsi="Times New Roman"/>
          <w:color w:val="000000"/>
          <w:szCs w:val="28"/>
          <w:highlight w:val="none"/>
        </w:rPr>
      </w:pPr>
      <w:r>
        <w:rPr>
          <w:rFonts w:hint="eastAsia" w:ascii="Times New Roman" w:hAnsi="Times New Roman"/>
          <w:color w:val="000000"/>
          <w:szCs w:val="28"/>
          <w:highlight w:val="none"/>
        </w:rPr>
        <w:t>3</w:t>
      </w:r>
      <w:r>
        <w:rPr>
          <w:rFonts w:ascii="Times New Roman" w:hAnsi="Times New Roman"/>
          <w:color w:val="000000"/>
          <w:szCs w:val="28"/>
          <w:highlight w:val="none"/>
        </w:rPr>
        <w:t>.</w:t>
      </w:r>
      <w:r>
        <w:rPr>
          <w:rFonts w:hint="eastAsia" w:ascii="Times New Roman" w:hAnsi="Times New Roman"/>
          <w:color w:val="000000"/>
          <w:szCs w:val="28"/>
          <w:highlight w:val="none"/>
        </w:rPr>
        <w:t>比选</w:t>
      </w:r>
      <w:r>
        <w:rPr>
          <w:rFonts w:ascii="Times New Roman" w:hAnsi="Times New Roman"/>
          <w:color w:val="000000"/>
          <w:szCs w:val="28"/>
          <w:highlight w:val="none"/>
        </w:rPr>
        <w:t>时间：202</w:t>
      </w:r>
      <w:r>
        <w:rPr>
          <w:rFonts w:hint="eastAsia" w:ascii="Times New Roman" w:hAnsi="Times New Roman"/>
          <w:color w:val="000000"/>
          <w:szCs w:val="28"/>
          <w:highlight w:val="none"/>
        </w:rPr>
        <w:t>6</w:t>
      </w:r>
      <w:r>
        <w:rPr>
          <w:rFonts w:ascii="Times New Roman" w:hAnsi="Times New Roman"/>
          <w:color w:val="000000"/>
          <w:szCs w:val="28"/>
          <w:highlight w:val="none"/>
        </w:rPr>
        <w:t>年3</w:t>
      </w:r>
      <w:r>
        <w:rPr>
          <w:rFonts w:hint="eastAsia" w:ascii="Times New Roman" w:hAnsi="Times New Roman"/>
          <w:color w:val="000000"/>
          <w:szCs w:val="28"/>
          <w:highlight w:val="none"/>
        </w:rPr>
        <w:t>月</w:t>
      </w:r>
      <w:r>
        <w:rPr>
          <w:rFonts w:ascii="Times New Roman" w:hAnsi="Times New Roman"/>
          <w:color w:val="000000"/>
          <w:szCs w:val="28"/>
          <w:highlight w:val="none"/>
        </w:rPr>
        <w:t>12日14:30时（北京时间）。</w:t>
      </w:r>
    </w:p>
    <w:p w14:paraId="02CA00FD">
      <w:pPr>
        <w:tabs>
          <w:tab w:val="center" w:pos="4535"/>
        </w:tabs>
        <w:snapToGrid w:val="0"/>
        <w:ind w:firstLine="560"/>
        <w:rPr>
          <w:rFonts w:ascii="Times New Roman" w:hAnsi="Times New Roman"/>
          <w:color w:val="000000"/>
          <w:szCs w:val="28"/>
          <w:highlight w:val="none"/>
        </w:rPr>
      </w:pPr>
      <w:r>
        <w:rPr>
          <w:rFonts w:hint="eastAsia" w:ascii="Times New Roman" w:hAnsi="Times New Roman"/>
          <w:color w:val="000000"/>
          <w:szCs w:val="28"/>
          <w:highlight w:val="none"/>
        </w:rPr>
        <w:t>4</w:t>
      </w:r>
      <w:r>
        <w:rPr>
          <w:rFonts w:ascii="Times New Roman" w:hAnsi="Times New Roman"/>
          <w:color w:val="000000"/>
          <w:szCs w:val="28"/>
          <w:highlight w:val="none"/>
        </w:rPr>
        <w:t>.</w:t>
      </w:r>
      <w:r>
        <w:rPr>
          <w:rFonts w:hint="eastAsia" w:ascii="Times New Roman" w:hAnsi="Times New Roman"/>
          <w:color w:val="000000"/>
          <w:szCs w:val="28"/>
          <w:highlight w:val="none"/>
        </w:rPr>
        <w:t>比</w:t>
      </w:r>
      <w:r>
        <w:rPr>
          <w:rFonts w:ascii="Times New Roman" w:hAnsi="Times New Roman"/>
          <w:color w:val="000000"/>
          <w:szCs w:val="28"/>
          <w:highlight w:val="none"/>
        </w:rPr>
        <w:t>选地点：</w:t>
      </w:r>
      <w:r>
        <w:rPr>
          <w:rFonts w:hint="eastAsia" w:ascii="Times New Roman" w:hAnsi="Times New Roman"/>
          <w:color w:val="000000"/>
          <w:szCs w:val="28"/>
          <w:highlight w:val="none"/>
        </w:rPr>
        <w:t>重庆市两江新区金开大道西段106号互联网产业园10栋</w:t>
      </w:r>
      <w:r>
        <w:rPr>
          <w:rFonts w:ascii="Times New Roman" w:hAnsi="Times New Roman"/>
          <w:color w:val="000000"/>
          <w:szCs w:val="28"/>
          <w:highlight w:val="none"/>
        </w:rPr>
        <w:t>8</w:t>
      </w:r>
      <w:r>
        <w:rPr>
          <w:rFonts w:hint="eastAsia" w:ascii="Times New Roman" w:hAnsi="Times New Roman"/>
          <w:color w:val="000000"/>
          <w:szCs w:val="28"/>
          <w:highlight w:val="none"/>
        </w:rPr>
        <w:t>楼8</w:t>
      </w:r>
      <w:r>
        <w:rPr>
          <w:rFonts w:ascii="Times New Roman" w:hAnsi="Times New Roman"/>
          <w:color w:val="000000"/>
          <w:szCs w:val="28"/>
          <w:highlight w:val="none"/>
        </w:rPr>
        <w:t>14</w:t>
      </w:r>
      <w:r>
        <w:rPr>
          <w:rFonts w:hint="eastAsia" w:ascii="Times New Roman" w:hAnsi="Times New Roman"/>
          <w:color w:val="000000"/>
          <w:szCs w:val="28"/>
          <w:highlight w:val="none"/>
        </w:rPr>
        <w:t>会议室</w:t>
      </w:r>
      <w:r>
        <w:rPr>
          <w:rFonts w:ascii="Times New Roman" w:hAnsi="Times New Roman"/>
          <w:color w:val="000000"/>
          <w:szCs w:val="28"/>
          <w:highlight w:val="none"/>
        </w:rPr>
        <w:t>。</w:t>
      </w:r>
    </w:p>
    <w:p w14:paraId="1A94A542">
      <w:pPr>
        <w:keepNext/>
        <w:keepLines/>
        <w:adjustRightInd w:val="0"/>
        <w:snapToGrid w:val="0"/>
        <w:ind w:firstLine="560"/>
        <w:jc w:val="left"/>
        <w:outlineLvl w:val="1"/>
        <w:rPr>
          <w:rFonts w:ascii="Times New Roman" w:hAnsi="Times New Roman" w:eastAsia="方正黑体_GBK"/>
          <w:color w:val="000000"/>
          <w:szCs w:val="20"/>
          <w:highlight w:val="none"/>
        </w:rPr>
      </w:pPr>
      <w:bookmarkStart w:id="26" w:name="_Toc67494197"/>
      <w:bookmarkStart w:id="27" w:name="_Toc26846"/>
      <w:bookmarkStart w:id="28" w:name="_Toc105081903"/>
      <w:r>
        <w:rPr>
          <w:rFonts w:hint="eastAsia" w:ascii="Times New Roman" w:hAnsi="Times New Roman" w:eastAsia="方正黑体_GBK"/>
          <w:color w:val="000000"/>
          <w:szCs w:val="20"/>
          <w:highlight w:val="none"/>
        </w:rPr>
        <w:t>七、</w:t>
      </w:r>
      <w:r>
        <w:rPr>
          <w:rFonts w:ascii="Times New Roman" w:hAnsi="Times New Roman" w:eastAsia="方正黑体_GBK"/>
          <w:color w:val="000000"/>
          <w:szCs w:val="20"/>
          <w:highlight w:val="none"/>
        </w:rPr>
        <w:t>比选有关规定</w:t>
      </w:r>
      <w:bookmarkEnd w:id="26"/>
      <w:bookmarkEnd w:id="27"/>
      <w:bookmarkEnd w:id="28"/>
    </w:p>
    <w:p w14:paraId="5394830F">
      <w:pPr>
        <w:ind w:firstLine="560"/>
        <w:rPr>
          <w:rFonts w:ascii="Times New Roman" w:hAnsi="Times New Roman"/>
          <w:color w:val="000000"/>
          <w:highlight w:val="none"/>
        </w:rPr>
      </w:pPr>
      <w:r>
        <w:rPr>
          <w:rFonts w:ascii="Times New Roman" w:hAnsi="Times New Roman"/>
          <w:color w:val="000000"/>
          <w:highlight w:val="none"/>
        </w:rPr>
        <w:t>（一）本项目在比选截止时间前发布的比选文件及更正文件（如果有）一律通过电子邮件形式发放，请各参选人注意下载；无论参选人下载与否，均视同参选人已知晓本项目比选文件、更正文件（如果有）的内容。</w:t>
      </w:r>
    </w:p>
    <w:p w14:paraId="0374BC22">
      <w:pPr>
        <w:ind w:firstLine="56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rPr>
        <w:t>二</w:t>
      </w:r>
      <w:r>
        <w:rPr>
          <w:rFonts w:ascii="Times New Roman" w:hAnsi="Times New Roman"/>
          <w:color w:val="000000"/>
          <w:highlight w:val="none"/>
        </w:rPr>
        <w:t>）超过比选截止时间递交的参选文件，恕不接收。</w:t>
      </w:r>
    </w:p>
    <w:p w14:paraId="3062041F">
      <w:pPr>
        <w:ind w:firstLine="56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rPr>
        <w:t>三</w:t>
      </w:r>
      <w:r>
        <w:rPr>
          <w:rFonts w:ascii="Times New Roman" w:hAnsi="Times New Roman"/>
          <w:color w:val="000000"/>
          <w:highlight w:val="none"/>
        </w:rPr>
        <w:t>）比选费用：无论比选结果如何，参选人参与本项目比选的所有费用均应由参选人自行承担。</w:t>
      </w:r>
    </w:p>
    <w:p w14:paraId="3B44F3B3">
      <w:pPr>
        <w:keepNext/>
        <w:keepLines/>
        <w:adjustRightInd w:val="0"/>
        <w:snapToGrid w:val="0"/>
        <w:ind w:firstLine="560"/>
        <w:jc w:val="left"/>
        <w:outlineLvl w:val="1"/>
        <w:rPr>
          <w:rFonts w:ascii="Times New Roman" w:hAnsi="Times New Roman" w:eastAsia="方正黑体_GBK"/>
          <w:color w:val="000000"/>
          <w:szCs w:val="20"/>
          <w:highlight w:val="none"/>
        </w:rPr>
      </w:pPr>
      <w:bookmarkStart w:id="29" w:name="_Toc50574138"/>
      <w:r>
        <w:rPr>
          <w:rFonts w:hint="eastAsia" w:ascii="Times New Roman" w:hAnsi="Times New Roman" w:eastAsia="方正黑体_GBK"/>
          <w:color w:val="000000"/>
          <w:szCs w:val="20"/>
          <w:highlight w:val="none"/>
        </w:rPr>
        <w:t>八、</w:t>
      </w:r>
      <w:r>
        <w:rPr>
          <w:rFonts w:ascii="Times New Roman" w:hAnsi="Times New Roman" w:eastAsia="方正黑体_GBK"/>
          <w:color w:val="000000"/>
          <w:szCs w:val="20"/>
          <w:highlight w:val="none"/>
        </w:rPr>
        <w:t>发布公告媒介</w:t>
      </w:r>
      <w:bookmarkEnd w:id="29"/>
    </w:p>
    <w:p w14:paraId="5F45FD15">
      <w:pPr>
        <w:ind w:firstLine="560"/>
        <w:rPr>
          <w:rFonts w:ascii="Times New Roman" w:hAnsi="Times New Roman"/>
          <w:color w:val="000000"/>
          <w:highlight w:val="none"/>
        </w:rPr>
      </w:pPr>
      <w:r>
        <w:rPr>
          <w:rFonts w:ascii="Times New Roman" w:hAnsi="Times New Roman"/>
          <w:color w:val="000000"/>
          <w:highlight w:val="none"/>
        </w:rPr>
        <w:t>本次比选公告在重庆华龙网（http://www.cqnews.net）首页</w:t>
      </w:r>
      <w:r>
        <w:rPr>
          <w:rFonts w:ascii="Times New Roman" w:hAnsi="Times New Roman"/>
          <w:color w:val="000000"/>
          <w:szCs w:val="28"/>
          <w:highlight w:val="none"/>
        </w:rPr>
        <w:t>、</w:t>
      </w:r>
      <w:r>
        <w:rPr>
          <w:rFonts w:hint="eastAsia" w:ascii="Times New Roman" w:hAnsi="Times New Roman"/>
          <w:sz w:val="32"/>
          <w:szCs w:val="32"/>
          <w:highlight w:val="none"/>
        </w:rPr>
        <w:t>阳光重庆（www.ygcq.com.cn）网站、</w:t>
      </w:r>
      <w:r>
        <w:rPr>
          <w:rFonts w:ascii="Times New Roman" w:hAnsi="Times New Roman"/>
          <w:color w:val="000000"/>
          <w:szCs w:val="28"/>
          <w:highlight w:val="none"/>
        </w:rPr>
        <w:t>第1眼app</w:t>
      </w:r>
      <w:r>
        <w:rPr>
          <w:rFonts w:ascii="Times New Roman" w:hAnsi="Times New Roman"/>
          <w:color w:val="000000"/>
          <w:highlight w:val="none"/>
        </w:rPr>
        <w:t>发布。</w:t>
      </w:r>
    </w:p>
    <w:p w14:paraId="1B0AED6A">
      <w:pPr>
        <w:keepNext/>
        <w:keepLines/>
        <w:adjustRightInd w:val="0"/>
        <w:snapToGrid w:val="0"/>
        <w:ind w:firstLine="560"/>
        <w:jc w:val="left"/>
        <w:outlineLvl w:val="1"/>
        <w:rPr>
          <w:rFonts w:ascii="Times New Roman" w:hAnsi="Times New Roman" w:eastAsia="方正黑体_GBK"/>
          <w:color w:val="000000"/>
          <w:szCs w:val="20"/>
          <w:highlight w:val="none"/>
        </w:rPr>
      </w:pPr>
      <w:r>
        <w:rPr>
          <w:rFonts w:hint="eastAsia" w:ascii="Times New Roman" w:hAnsi="Times New Roman" w:eastAsia="方正黑体_GBK"/>
          <w:color w:val="000000"/>
          <w:szCs w:val="20"/>
          <w:highlight w:val="none"/>
        </w:rPr>
        <w:t>九、</w:t>
      </w:r>
      <w:r>
        <w:rPr>
          <w:rFonts w:ascii="Times New Roman" w:hAnsi="Times New Roman" w:eastAsia="方正黑体_GBK"/>
          <w:color w:val="000000"/>
          <w:szCs w:val="20"/>
          <w:highlight w:val="none"/>
        </w:rPr>
        <w:t>联系方式</w:t>
      </w:r>
    </w:p>
    <w:p w14:paraId="0D42CCBC">
      <w:pPr>
        <w:ind w:firstLine="560"/>
        <w:rPr>
          <w:rFonts w:ascii="Times New Roman" w:hAnsi="Times New Roman"/>
          <w:color w:val="000000"/>
          <w:highlight w:val="none"/>
        </w:rPr>
      </w:pPr>
      <w:r>
        <w:rPr>
          <w:rFonts w:ascii="Times New Roman" w:hAnsi="Times New Roman"/>
          <w:color w:val="000000"/>
          <w:highlight w:val="none"/>
        </w:rPr>
        <w:t>采购人：重庆华龙网集团股份有限公司</w:t>
      </w:r>
    </w:p>
    <w:p w14:paraId="56B4F7E0">
      <w:pPr>
        <w:ind w:firstLine="560"/>
        <w:rPr>
          <w:rFonts w:ascii="Times New Roman" w:hAnsi="Times New Roman"/>
          <w:color w:val="auto"/>
          <w:highlight w:val="none"/>
        </w:rPr>
      </w:pPr>
      <w:r>
        <w:rPr>
          <w:rFonts w:ascii="Times New Roman" w:hAnsi="Times New Roman"/>
          <w:color w:val="000000"/>
          <w:highlight w:val="none"/>
        </w:rPr>
        <w:t>联系人及电话：</w:t>
      </w:r>
      <w:r>
        <w:rPr>
          <w:rFonts w:hint="eastAsia" w:ascii="Times New Roman" w:hAnsi="Times New Roman"/>
          <w:color w:val="auto"/>
          <w:highlight w:val="none"/>
        </w:rPr>
        <w:t>余老师</w:t>
      </w:r>
      <w:r>
        <w:rPr>
          <w:rFonts w:ascii="Times New Roman" w:hAnsi="Times New Roman"/>
          <w:color w:val="auto"/>
          <w:highlight w:val="none"/>
        </w:rPr>
        <w:t>（18680705826）杨</w:t>
      </w:r>
      <w:r>
        <w:rPr>
          <w:rFonts w:hint="eastAsia" w:ascii="Times New Roman" w:hAnsi="Times New Roman"/>
          <w:color w:val="auto"/>
          <w:highlight w:val="none"/>
        </w:rPr>
        <w:t>老师</w:t>
      </w:r>
      <w:r>
        <w:rPr>
          <w:rFonts w:ascii="Times New Roman" w:hAnsi="Times New Roman"/>
          <w:color w:val="auto"/>
          <w:highlight w:val="none"/>
        </w:rPr>
        <w:t>（13527497052）</w:t>
      </w:r>
    </w:p>
    <w:p w14:paraId="77963353">
      <w:pPr>
        <w:ind w:firstLine="560"/>
        <w:rPr>
          <w:rFonts w:ascii="Times New Roman" w:hAnsi="Times New Roman"/>
          <w:color w:val="000000"/>
          <w:spacing w:val="-6"/>
          <w:highlight w:val="none"/>
        </w:rPr>
      </w:pPr>
      <w:r>
        <w:rPr>
          <w:rFonts w:ascii="Times New Roman" w:hAnsi="Times New Roman"/>
          <w:color w:val="000000"/>
          <w:highlight w:val="none"/>
        </w:rPr>
        <w:t>地  址：</w:t>
      </w:r>
      <w:r>
        <w:rPr>
          <w:rFonts w:hint="eastAsia" w:ascii="Times New Roman" w:hAnsi="Times New Roman"/>
          <w:color w:val="000000"/>
          <w:spacing w:val="-6"/>
          <w:highlight w:val="none"/>
        </w:rPr>
        <w:t>重庆市两江新区金开大道西段</w:t>
      </w:r>
      <w:r>
        <w:rPr>
          <w:rFonts w:ascii="Times New Roman" w:hAnsi="Times New Roman"/>
          <w:color w:val="000000"/>
          <w:spacing w:val="-6"/>
          <w:highlight w:val="none"/>
        </w:rPr>
        <w:t>106</w:t>
      </w:r>
      <w:r>
        <w:rPr>
          <w:rFonts w:hint="eastAsia" w:ascii="Times New Roman" w:hAnsi="Times New Roman"/>
          <w:color w:val="000000"/>
          <w:spacing w:val="-6"/>
          <w:highlight w:val="none"/>
        </w:rPr>
        <w:t>号</w:t>
      </w:r>
      <w:r>
        <w:rPr>
          <w:rFonts w:ascii="Times New Roman" w:hAnsi="Times New Roman"/>
          <w:color w:val="000000"/>
          <w:spacing w:val="-6"/>
          <w:highlight w:val="none"/>
        </w:rPr>
        <w:t>10</w:t>
      </w:r>
      <w:r>
        <w:rPr>
          <w:rFonts w:hint="eastAsia" w:ascii="Times New Roman" w:hAnsi="Times New Roman"/>
          <w:color w:val="000000"/>
          <w:spacing w:val="-6"/>
          <w:highlight w:val="none"/>
        </w:rPr>
        <w:t>幢移动新媒体产业大厦</w:t>
      </w:r>
    </w:p>
    <w:p w14:paraId="583BE705">
      <w:pPr>
        <w:ind w:firstLine="560"/>
        <w:rPr>
          <w:rFonts w:ascii="Times New Roman" w:hAnsi="Times New Roman"/>
          <w:color w:val="000000"/>
          <w:highlight w:val="none"/>
        </w:rPr>
      </w:pPr>
      <w:bookmarkStart w:id="30" w:name="_Toc49326495"/>
      <w:r>
        <w:rPr>
          <w:rFonts w:ascii="Times New Roman" w:hAnsi="Times New Roman"/>
          <w:color w:val="000000"/>
          <w:highlight w:val="none"/>
        </w:rPr>
        <w:t>本项目不举行答疑会，项目</w:t>
      </w:r>
      <w:r>
        <w:rPr>
          <w:rFonts w:hint="eastAsia" w:ascii="Times New Roman" w:hAnsi="Times New Roman"/>
          <w:color w:val="000000"/>
          <w:highlight w:val="none"/>
          <w:lang w:eastAsia="zh-CN"/>
        </w:rPr>
        <w:t>需求</w:t>
      </w:r>
      <w:r>
        <w:rPr>
          <w:rFonts w:ascii="Times New Roman" w:hAnsi="Times New Roman"/>
          <w:color w:val="000000"/>
          <w:highlight w:val="none"/>
        </w:rPr>
        <w:t>详情可向采购人了解</w:t>
      </w:r>
      <w:r>
        <w:rPr>
          <w:rFonts w:ascii="Times New Roman" w:hAnsi="Times New Roman"/>
          <w:b/>
          <w:color w:val="000000"/>
          <w:highlight w:val="none"/>
        </w:rPr>
        <w:t>。</w:t>
      </w:r>
      <w:bookmarkEnd w:id="30"/>
    </w:p>
    <w:p w14:paraId="0D1A8C00">
      <w:pPr>
        <w:ind w:firstLine="560"/>
        <w:rPr>
          <w:rFonts w:ascii="Times New Roman" w:hAnsi="Times New Roman" w:eastAsia="仿宋"/>
          <w:color w:val="auto"/>
          <w:highlight w:val="none"/>
        </w:rPr>
      </w:pPr>
    </w:p>
    <w:p w14:paraId="4E79A607">
      <w:pPr>
        <w:pStyle w:val="9"/>
        <w:ind w:firstLine="0" w:firstLineChars="0"/>
        <w:rPr>
          <w:rFonts w:ascii="Times New Roman" w:hAnsi="Times New Roman"/>
          <w:color w:val="auto"/>
          <w:highlight w:val="none"/>
        </w:rPr>
      </w:pPr>
    </w:p>
    <w:p w14:paraId="2BE34611">
      <w:pPr>
        <w:pStyle w:val="9"/>
        <w:ind w:firstLine="0" w:firstLineChars="0"/>
        <w:rPr>
          <w:rFonts w:ascii="Times New Roman" w:hAnsi="Times New Roman"/>
          <w:color w:val="auto"/>
          <w:highlight w:val="none"/>
        </w:rPr>
      </w:pPr>
    </w:p>
    <w:p w14:paraId="4903C6C1">
      <w:pPr>
        <w:pStyle w:val="9"/>
        <w:ind w:firstLine="0" w:firstLineChars="0"/>
        <w:rPr>
          <w:rFonts w:ascii="Times New Roman" w:hAnsi="Times New Roman"/>
          <w:color w:val="auto"/>
          <w:highlight w:val="none"/>
        </w:rPr>
      </w:pPr>
    </w:p>
    <w:p w14:paraId="30ECA604">
      <w:pPr>
        <w:pStyle w:val="9"/>
        <w:ind w:firstLine="0" w:firstLineChars="0"/>
        <w:rPr>
          <w:rFonts w:ascii="Times New Roman" w:hAnsi="Times New Roman"/>
          <w:color w:val="auto"/>
          <w:highlight w:val="none"/>
        </w:rPr>
      </w:pPr>
    </w:p>
    <w:p w14:paraId="01A9C15F">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highlight w:val="none"/>
        </w:rPr>
      </w:pPr>
      <w:bookmarkStart w:id="31" w:name="_Toc8041"/>
      <w:bookmarkStart w:id="32" w:name="_Toc194572016"/>
      <w:r>
        <w:rPr>
          <w:rFonts w:ascii="Times New Roman" w:hAnsi="Times New Roman" w:eastAsia="方正小标宋_GBK" w:cs="Times New Roman"/>
          <w:b/>
          <w:bCs/>
          <w:color w:val="auto"/>
          <w:kern w:val="44"/>
          <w:sz w:val="32"/>
          <w:szCs w:val="44"/>
          <w:highlight w:val="none"/>
        </w:rPr>
        <w:t>第二篇  项目技术/服务需求</w:t>
      </w:r>
      <w:bookmarkEnd w:id="31"/>
      <w:bookmarkEnd w:id="32"/>
    </w:p>
    <w:p w14:paraId="686C0BC9">
      <w:pPr>
        <w:pStyle w:val="4"/>
        <w:adjustRightInd w:val="0"/>
        <w:snapToGrid w:val="0"/>
        <w:spacing w:before="0" w:after="0"/>
        <w:ind w:firstLine="560"/>
        <w:jc w:val="left"/>
        <w:rPr>
          <w:rFonts w:ascii="Times New Roman" w:hAnsi="Times New Roman" w:eastAsia="方正黑体_GBK" w:cs="Times New Roman"/>
          <w:color w:val="auto"/>
          <w:sz w:val="28"/>
          <w:szCs w:val="28"/>
          <w:highlight w:val="none"/>
        </w:rPr>
      </w:pPr>
      <w:bookmarkStart w:id="33" w:name="OLE_LINK3"/>
      <w:r>
        <w:rPr>
          <w:rFonts w:ascii="Times New Roman" w:hAnsi="Times New Roman" w:eastAsia="方正黑体_GBK" w:cs="Times New Roman"/>
          <w:color w:val="auto"/>
          <w:sz w:val="28"/>
          <w:szCs w:val="28"/>
          <w:highlight w:val="none"/>
        </w:rPr>
        <w:t>一、</w:t>
      </w:r>
      <w:bookmarkEnd w:id="19"/>
      <w:bookmarkEnd w:id="20"/>
      <w:bookmarkEnd w:id="21"/>
      <w:bookmarkEnd w:id="22"/>
      <w:bookmarkEnd w:id="23"/>
      <w:r>
        <w:rPr>
          <w:rFonts w:ascii="Times New Roman" w:hAnsi="Times New Roman" w:eastAsia="方正黑体_GBK" w:cs="Times New Roman"/>
          <w:color w:val="auto"/>
          <w:sz w:val="28"/>
          <w:szCs w:val="28"/>
          <w:highlight w:val="none"/>
        </w:rPr>
        <w:t>服务范围</w:t>
      </w:r>
      <w:bookmarkEnd w:id="24"/>
    </w:p>
    <w:p w14:paraId="140D19A8">
      <w:pPr>
        <w:ind w:firstLine="560"/>
        <w:rPr>
          <w:rFonts w:ascii="Times New Roman"/>
          <w:highlight w:val="none"/>
        </w:rPr>
      </w:pPr>
      <w:bookmarkStart w:id="34" w:name="_Toc13093"/>
      <w:bookmarkStart w:id="35" w:name="_Toc105081907"/>
      <w:bookmarkStart w:id="36" w:name="_Toc7512"/>
      <w:bookmarkStart w:id="37" w:name="_Toc8657"/>
      <w:bookmarkStart w:id="38" w:name="_Toc466546911"/>
      <w:bookmarkStart w:id="39" w:name="_Toc19141"/>
      <w:bookmarkStart w:id="40" w:name="_Toc313536013"/>
      <w:bookmarkStart w:id="41" w:name="_Toc344475116"/>
      <w:r>
        <w:rPr>
          <w:rFonts w:hint="eastAsia" w:ascii="Times New Roman" w:hAnsi="Times New Roman"/>
          <w:color w:val="auto"/>
          <w:highlight w:val="none"/>
        </w:rPr>
        <w:t>包括开发期内应用所需的安全咨询服务：软件供应链安全测评、数据安全评估服务、数据安全分类分级服务、数据安全技术服务、数据安全治理服务、数据安全能力服务、运维安全网关服务、数据全流量安全监测服务</w:t>
      </w:r>
      <w:r>
        <w:rPr>
          <w:rFonts w:ascii="Times New Roman" w:hAnsi="Times New Roman" w:eastAsia="仿宋"/>
          <w:color w:val="auto"/>
          <w:highlight w:val="none"/>
        </w:rPr>
        <w:t>。</w:t>
      </w:r>
    </w:p>
    <w:tbl>
      <w:tblPr>
        <w:tblStyle w:val="17"/>
        <w:tblW w:w="5062" w:type="pct"/>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341"/>
        <w:gridCol w:w="5765"/>
        <w:gridCol w:w="1584"/>
      </w:tblGrid>
      <w:tr w14:paraId="12D7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559DF5BB">
            <w:pPr>
              <w:spacing w:line="240" w:lineRule="auto"/>
              <w:ind w:firstLine="0" w:firstLineChars="0"/>
              <w:jc w:val="center"/>
              <w:textAlignment w:val="center"/>
              <w:rPr>
                <w:rFonts w:cs="宋体"/>
                <w:b/>
                <w:bCs/>
                <w:color w:val="000000"/>
                <w:sz w:val="22"/>
                <w:highlight w:val="none"/>
              </w:rPr>
            </w:pPr>
            <w:r>
              <w:rPr>
                <w:rFonts w:hint="eastAsia" w:cs="宋体"/>
                <w:b/>
                <w:bCs/>
                <w:color w:val="000000"/>
                <w:kern w:val="0"/>
                <w:sz w:val="22"/>
                <w:highlight w:val="none"/>
                <w:lang w:bidi="ar"/>
              </w:rPr>
              <w:t>序号</w:t>
            </w:r>
          </w:p>
        </w:tc>
        <w:tc>
          <w:tcPr>
            <w:tcW w:w="713" w:type="pct"/>
            <w:vAlign w:val="center"/>
          </w:tcPr>
          <w:p w14:paraId="27E8ED83">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服务项</w:t>
            </w:r>
          </w:p>
        </w:tc>
        <w:tc>
          <w:tcPr>
            <w:tcW w:w="3064" w:type="pct"/>
            <w:vAlign w:val="center"/>
          </w:tcPr>
          <w:p w14:paraId="2DEC879E">
            <w:pPr>
              <w:spacing w:line="240" w:lineRule="auto"/>
              <w:ind w:firstLine="0" w:firstLineChars="0"/>
              <w:jc w:val="center"/>
              <w:textAlignment w:val="center"/>
              <w:rPr>
                <w:rFonts w:cs="宋体"/>
                <w:b/>
                <w:bCs/>
                <w:color w:val="000000"/>
                <w:sz w:val="22"/>
                <w:highlight w:val="none"/>
              </w:rPr>
            </w:pPr>
            <w:r>
              <w:rPr>
                <w:rFonts w:hint="eastAsia" w:cs="宋体"/>
                <w:b/>
                <w:bCs/>
                <w:color w:val="000000"/>
                <w:kern w:val="0"/>
                <w:sz w:val="22"/>
                <w:highlight w:val="none"/>
                <w:lang w:bidi="ar"/>
              </w:rPr>
              <w:t>服务描述</w:t>
            </w:r>
          </w:p>
        </w:tc>
        <w:tc>
          <w:tcPr>
            <w:tcW w:w="842" w:type="pct"/>
            <w:vAlign w:val="center"/>
          </w:tcPr>
          <w:p w14:paraId="493391F0">
            <w:pPr>
              <w:spacing w:line="240" w:lineRule="auto"/>
              <w:ind w:firstLine="0" w:firstLineChars="0"/>
              <w:jc w:val="center"/>
              <w:textAlignment w:val="center"/>
              <w:rPr>
                <w:rFonts w:eastAsia="宋体" w:cs="宋体"/>
                <w:b/>
                <w:bCs/>
                <w:color w:val="000000"/>
                <w:sz w:val="22"/>
                <w:highlight w:val="none"/>
              </w:rPr>
            </w:pPr>
            <w:r>
              <w:rPr>
                <w:rFonts w:hint="eastAsia" w:cs="宋体"/>
                <w:b/>
                <w:bCs/>
                <w:color w:val="000000"/>
                <w:kern w:val="0"/>
                <w:sz w:val="22"/>
                <w:highlight w:val="none"/>
                <w:lang w:bidi="ar"/>
              </w:rPr>
              <w:t>服务团队</w:t>
            </w:r>
          </w:p>
        </w:tc>
      </w:tr>
      <w:tr w14:paraId="612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6ED08CA6">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1</w:t>
            </w:r>
          </w:p>
        </w:tc>
        <w:tc>
          <w:tcPr>
            <w:tcW w:w="713" w:type="pct"/>
            <w:vAlign w:val="center"/>
          </w:tcPr>
          <w:p w14:paraId="51B0AA73">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软件供应链安全测评</w:t>
            </w:r>
          </w:p>
        </w:tc>
        <w:tc>
          <w:tcPr>
            <w:tcW w:w="3064" w:type="pct"/>
            <w:vAlign w:val="center"/>
          </w:tcPr>
          <w:p w14:paraId="0187D838">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包括软件成分安全技术分析、基于二进制软件基因技术分析、动态应用程序安全测试、容器镜像安全技术分析、静态应用程序安全测试等，在操作过程中可根据实际情况选择技术分析项</w:t>
            </w:r>
            <w:r>
              <w:rPr>
                <w:rFonts w:hint="eastAsia" w:cs="宋体"/>
                <w:color w:val="000000"/>
                <w:kern w:val="0"/>
                <w:sz w:val="22"/>
                <w:highlight w:val="none"/>
                <w:lang w:eastAsia="zh-CN" w:bidi="ar"/>
              </w:rPr>
              <w:t>。其中，</w:t>
            </w:r>
            <w:r>
              <w:rPr>
                <w:rFonts w:hint="eastAsia" w:cs="宋体"/>
                <w:color w:val="000000"/>
                <w:kern w:val="0"/>
                <w:sz w:val="22"/>
                <w:highlight w:val="none"/>
                <w:lang w:bidi="ar"/>
              </w:rPr>
              <w:t>软件成分安全技术分析、基于二进制软件基因技术分析、动态应用程序安全测试为必选项，容器镜像安全技术分析、静态应用程序安全测试为</w:t>
            </w:r>
            <w:r>
              <w:rPr>
                <w:rFonts w:hint="eastAsia" w:cs="宋体"/>
                <w:color w:val="000000"/>
                <w:kern w:val="0"/>
                <w:sz w:val="22"/>
                <w:highlight w:val="none"/>
                <w:lang w:eastAsia="zh-CN" w:bidi="ar"/>
              </w:rPr>
              <w:t>可选项</w:t>
            </w:r>
            <w:r>
              <w:rPr>
                <w:rFonts w:hint="eastAsia" w:cs="宋体"/>
                <w:color w:val="000000"/>
                <w:kern w:val="0"/>
                <w:sz w:val="22"/>
                <w:highlight w:val="none"/>
                <w:lang w:bidi="ar"/>
              </w:rPr>
              <w:t>。</w:t>
            </w:r>
          </w:p>
        </w:tc>
        <w:tc>
          <w:tcPr>
            <w:tcW w:w="842" w:type="pct"/>
            <w:vMerge w:val="restart"/>
            <w:vAlign w:val="center"/>
          </w:tcPr>
          <w:p w14:paraId="537E9909">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现场+远程</w:t>
            </w:r>
          </w:p>
          <w:p w14:paraId="3AC1CD0E">
            <w:pPr>
              <w:spacing w:line="240" w:lineRule="auto"/>
              <w:ind w:firstLine="0" w:firstLineChars="0"/>
              <w:jc w:val="center"/>
              <w:textAlignment w:val="center"/>
              <w:rPr>
                <w:rFonts w:cs="宋体"/>
                <w:b/>
                <w:bCs/>
                <w:color w:val="000000"/>
                <w:kern w:val="0"/>
                <w:sz w:val="22"/>
                <w:highlight w:val="none"/>
                <w:lang w:bidi="ar"/>
              </w:rPr>
            </w:pPr>
            <w:r>
              <w:rPr>
                <w:rFonts w:hint="eastAsia" w:cs="宋体"/>
                <w:color w:val="000000"/>
                <w:kern w:val="0"/>
                <w:sz w:val="22"/>
                <w:highlight w:val="none"/>
                <w:lang w:bidi="ar"/>
              </w:rPr>
              <w:t>不低于4人服务</w:t>
            </w:r>
          </w:p>
        </w:tc>
      </w:tr>
      <w:tr w14:paraId="4BEE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6F9F66EE">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2</w:t>
            </w:r>
          </w:p>
        </w:tc>
        <w:tc>
          <w:tcPr>
            <w:tcW w:w="713" w:type="pct"/>
            <w:vAlign w:val="center"/>
          </w:tcPr>
          <w:p w14:paraId="513CBE35">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数据安全评估服务</w:t>
            </w:r>
          </w:p>
        </w:tc>
        <w:tc>
          <w:tcPr>
            <w:tcW w:w="3064" w:type="pct"/>
            <w:vAlign w:val="center"/>
          </w:tcPr>
          <w:p w14:paraId="2259D9F0">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从管理和技术两个层面开展信息系统的数据安全评估工作。管理层面除了检查各单位数据安全管理组织的设立情况</w:t>
            </w:r>
            <w:r>
              <w:rPr>
                <w:rFonts w:hint="eastAsia" w:cs="宋体"/>
                <w:color w:val="000000"/>
                <w:kern w:val="0"/>
                <w:sz w:val="22"/>
                <w:highlight w:val="none"/>
                <w:lang w:eastAsia="zh-CN" w:bidi="ar"/>
              </w:rPr>
              <w:t>、</w:t>
            </w:r>
            <w:r>
              <w:rPr>
                <w:rFonts w:hint="eastAsia" w:cs="宋体"/>
                <w:color w:val="000000"/>
                <w:kern w:val="0"/>
                <w:sz w:val="22"/>
                <w:highlight w:val="none"/>
                <w:lang w:bidi="ar"/>
              </w:rPr>
              <w:t>管理制度的制定和落实情况，安全培训的开展情况</w:t>
            </w:r>
            <w:r>
              <w:rPr>
                <w:rFonts w:hint="eastAsia" w:cs="宋体"/>
                <w:color w:val="000000"/>
                <w:kern w:val="0"/>
                <w:sz w:val="22"/>
                <w:highlight w:val="none"/>
                <w:lang w:eastAsia="zh-CN" w:bidi="ar"/>
              </w:rPr>
              <w:t>、</w:t>
            </w:r>
            <w:r>
              <w:rPr>
                <w:rFonts w:hint="eastAsia" w:cs="宋体"/>
                <w:color w:val="000000"/>
                <w:kern w:val="0"/>
                <w:sz w:val="22"/>
                <w:highlight w:val="none"/>
                <w:lang w:bidi="ar"/>
              </w:rPr>
              <w:t>安全责任的落实情况</w:t>
            </w:r>
            <w:r>
              <w:rPr>
                <w:rFonts w:hint="eastAsia" w:cs="宋体"/>
                <w:color w:val="000000"/>
                <w:kern w:val="0"/>
                <w:sz w:val="22"/>
                <w:highlight w:val="none"/>
                <w:lang w:eastAsia="zh-CN" w:bidi="ar"/>
              </w:rPr>
              <w:t>，还包括检查</w:t>
            </w:r>
            <w:r>
              <w:rPr>
                <w:rFonts w:hint="eastAsia" w:cs="宋体"/>
                <w:color w:val="000000"/>
                <w:kern w:val="0"/>
                <w:sz w:val="22"/>
                <w:highlight w:val="none"/>
                <w:lang w:bidi="ar"/>
              </w:rPr>
              <w:t>相关部门的风险评估和应急管理工作的落实情况。技术层面</w:t>
            </w:r>
            <w:r>
              <w:rPr>
                <w:rFonts w:hint="eastAsia" w:cs="宋体"/>
                <w:color w:val="000000"/>
                <w:kern w:val="0"/>
                <w:sz w:val="22"/>
                <w:highlight w:val="none"/>
                <w:lang w:eastAsia="zh-CN" w:bidi="ar"/>
              </w:rPr>
              <w:t>将</w:t>
            </w:r>
            <w:r>
              <w:rPr>
                <w:rFonts w:hint="eastAsia" w:cs="宋体"/>
                <w:color w:val="000000"/>
                <w:kern w:val="0"/>
                <w:sz w:val="22"/>
                <w:highlight w:val="none"/>
                <w:lang w:bidi="ar"/>
              </w:rPr>
              <w:t>从网络、系统、应用和数据层面进行安全检查，并重点检查数据安全防护措施的落实情况。</w:t>
            </w:r>
          </w:p>
        </w:tc>
        <w:tc>
          <w:tcPr>
            <w:tcW w:w="842" w:type="pct"/>
            <w:vMerge w:val="continue"/>
            <w:vAlign w:val="center"/>
          </w:tcPr>
          <w:p w14:paraId="6C0A8821">
            <w:pPr>
              <w:spacing w:line="240" w:lineRule="auto"/>
              <w:ind w:firstLine="0" w:firstLineChars="0"/>
              <w:jc w:val="center"/>
              <w:textAlignment w:val="center"/>
              <w:rPr>
                <w:rFonts w:cs="宋体"/>
                <w:b/>
                <w:bCs/>
                <w:color w:val="000000"/>
                <w:kern w:val="0"/>
                <w:sz w:val="22"/>
                <w:highlight w:val="none"/>
                <w:lang w:bidi="ar"/>
              </w:rPr>
            </w:pPr>
          </w:p>
        </w:tc>
      </w:tr>
      <w:tr w14:paraId="282C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23CC48F2">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3</w:t>
            </w:r>
          </w:p>
        </w:tc>
        <w:tc>
          <w:tcPr>
            <w:tcW w:w="713" w:type="pct"/>
            <w:vAlign w:val="center"/>
          </w:tcPr>
          <w:p w14:paraId="6F173FE8">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数据安全分类分级服务</w:t>
            </w:r>
          </w:p>
        </w:tc>
        <w:tc>
          <w:tcPr>
            <w:tcW w:w="3064" w:type="pct"/>
            <w:vAlign w:val="center"/>
          </w:tcPr>
          <w:p w14:paraId="69FB98DF">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应用的数据安全分级分类管理严格遵循《中华人民共和国数据安全法》《中华人民共和国个人信息保护法》《网络安全等级保护基本要求》（GB/T 22239-2019）等法律法规及重庆市《公共数据分级分类指南》（DB50/T 1700-2024）等管理规范，构建“分级管控、分类施策、权责清晰、安全可控”的数据治理体系，针对在系统内入库的数据字典开展分类分级，确定重要数据保护目录，对列入目录的数据进行重点保护，为后续数据保护工作提供有效参考，并输出报告。</w:t>
            </w:r>
          </w:p>
        </w:tc>
        <w:tc>
          <w:tcPr>
            <w:tcW w:w="842" w:type="pct"/>
            <w:vMerge w:val="continue"/>
            <w:vAlign w:val="center"/>
          </w:tcPr>
          <w:p w14:paraId="74248AEF">
            <w:pPr>
              <w:spacing w:line="240" w:lineRule="auto"/>
              <w:ind w:firstLine="0" w:firstLineChars="0"/>
              <w:jc w:val="center"/>
              <w:textAlignment w:val="center"/>
              <w:rPr>
                <w:rFonts w:cs="宋体"/>
                <w:b/>
                <w:bCs/>
                <w:color w:val="000000"/>
                <w:kern w:val="0"/>
                <w:sz w:val="22"/>
                <w:highlight w:val="none"/>
                <w:lang w:bidi="ar"/>
              </w:rPr>
            </w:pPr>
          </w:p>
        </w:tc>
      </w:tr>
      <w:tr w14:paraId="13FC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5344EFD3">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4</w:t>
            </w:r>
          </w:p>
        </w:tc>
        <w:tc>
          <w:tcPr>
            <w:tcW w:w="713" w:type="pct"/>
            <w:vAlign w:val="center"/>
          </w:tcPr>
          <w:p w14:paraId="16B165A5">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数据安全技术服务</w:t>
            </w:r>
          </w:p>
        </w:tc>
        <w:tc>
          <w:tcPr>
            <w:tcW w:w="3064" w:type="pct"/>
            <w:vAlign w:val="center"/>
          </w:tcPr>
          <w:p w14:paraId="2E952550">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配合日常数据安全技术检测服务：开展数据安全漏洞扫描、渗透测试、敏感数据发现与核查、安全配置合规检查等技术检测工作。应急响应技术支撑服务：针对数据泄露、越权访问等安全事件，提供技术层面的应急处置、溯源分析、漏洞修复及系统恢复支持。</w:t>
            </w:r>
          </w:p>
        </w:tc>
        <w:tc>
          <w:tcPr>
            <w:tcW w:w="842" w:type="pct"/>
            <w:vMerge w:val="continue"/>
            <w:vAlign w:val="center"/>
          </w:tcPr>
          <w:p w14:paraId="2AC534A6">
            <w:pPr>
              <w:spacing w:line="240" w:lineRule="auto"/>
              <w:ind w:firstLine="0" w:firstLineChars="0"/>
              <w:jc w:val="center"/>
              <w:textAlignment w:val="center"/>
              <w:rPr>
                <w:rFonts w:cs="宋体"/>
                <w:b/>
                <w:bCs/>
                <w:color w:val="000000"/>
                <w:kern w:val="0"/>
                <w:sz w:val="22"/>
                <w:highlight w:val="none"/>
                <w:lang w:bidi="ar"/>
              </w:rPr>
            </w:pPr>
          </w:p>
        </w:tc>
      </w:tr>
      <w:tr w14:paraId="25D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5C39BD74">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5</w:t>
            </w:r>
          </w:p>
        </w:tc>
        <w:tc>
          <w:tcPr>
            <w:tcW w:w="713" w:type="pct"/>
            <w:vAlign w:val="center"/>
          </w:tcPr>
          <w:p w14:paraId="2E25FEE8">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数据安全治理服务</w:t>
            </w:r>
          </w:p>
        </w:tc>
        <w:tc>
          <w:tcPr>
            <w:tcW w:w="3064" w:type="pct"/>
            <w:vAlign w:val="center"/>
          </w:tcPr>
          <w:p w14:paraId="02B0D61D">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数据资产梳理：识别全域数据资产，划分数据分类分级，建立数据资产台账；安全策略与制度建设：制定数据安全管理规范、流程与制度，明确各角色权责，覆盖数据采集、存储、传输、使用、销毁全流程； 建立风险预警机制；开展日常数据安全监控、审计与事件响应，定期复盘并迭代优化治理体系。</w:t>
            </w:r>
          </w:p>
        </w:tc>
        <w:tc>
          <w:tcPr>
            <w:tcW w:w="842" w:type="pct"/>
            <w:vMerge w:val="continue"/>
            <w:vAlign w:val="center"/>
          </w:tcPr>
          <w:p w14:paraId="5512C31E">
            <w:pPr>
              <w:spacing w:line="240" w:lineRule="auto"/>
              <w:ind w:firstLine="0" w:firstLineChars="0"/>
              <w:jc w:val="center"/>
              <w:textAlignment w:val="center"/>
              <w:rPr>
                <w:rFonts w:cs="宋体"/>
                <w:b/>
                <w:bCs/>
                <w:color w:val="000000"/>
                <w:kern w:val="0"/>
                <w:sz w:val="22"/>
                <w:highlight w:val="none"/>
                <w:lang w:bidi="ar"/>
              </w:rPr>
            </w:pPr>
          </w:p>
        </w:tc>
      </w:tr>
      <w:tr w14:paraId="4EDA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0A7606A3">
            <w:pPr>
              <w:spacing w:line="240" w:lineRule="auto"/>
              <w:ind w:firstLine="0" w:firstLineChars="0"/>
              <w:jc w:val="center"/>
              <w:textAlignment w:val="center"/>
              <w:rPr>
                <w:rFonts w:cs="宋体"/>
                <w:b/>
                <w:bCs/>
                <w:color w:val="000000"/>
                <w:kern w:val="0"/>
                <w:sz w:val="22"/>
                <w:highlight w:val="none"/>
                <w:lang w:bidi="ar"/>
              </w:rPr>
            </w:pPr>
            <w:r>
              <w:rPr>
                <w:rFonts w:hint="eastAsia" w:cs="宋体"/>
                <w:b/>
                <w:bCs/>
                <w:color w:val="000000"/>
                <w:kern w:val="0"/>
                <w:sz w:val="22"/>
                <w:highlight w:val="none"/>
                <w:lang w:bidi="ar"/>
              </w:rPr>
              <w:t>6</w:t>
            </w:r>
          </w:p>
        </w:tc>
        <w:tc>
          <w:tcPr>
            <w:tcW w:w="713" w:type="pct"/>
            <w:vAlign w:val="center"/>
          </w:tcPr>
          <w:p w14:paraId="6CE950A3">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数据安全能力服务</w:t>
            </w:r>
          </w:p>
        </w:tc>
        <w:tc>
          <w:tcPr>
            <w:tcW w:w="3064" w:type="pct"/>
            <w:vAlign w:val="center"/>
          </w:tcPr>
          <w:p w14:paraId="4DC76A9C">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以“数据、身份”为中心，以数据分类分级为抓手，以脱敏、水印、API监测、数据库审计等数据能力组件为支撑，从识别、防护、检测、响应（IPDR）四个维度构建“安全、可信、合规”的数据智能化安全治理体系，有效降低了数据流通全流程的安全风险，构建了全生命周期数据安全治理技术体系。</w:t>
            </w:r>
          </w:p>
        </w:tc>
        <w:tc>
          <w:tcPr>
            <w:tcW w:w="842" w:type="pct"/>
            <w:vMerge w:val="continue"/>
            <w:vAlign w:val="center"/>
          </w:tcPr>
          <w:p w14:paraId="7651C400">
            <w:pPr>
              <w:spacing w:line="240" w:lineRule="auto"/>
              <w:ind w:firstLine="0" w:firstLineChars="0"/>
              <w:jc w:val="center"/>
              <w:textAlignment w:val="center"/>
              <w:rPr>
                <w:rFonts w:cs="宋体"/>
                <w:b/>
                <w:bCs/>
                <w:color w:val="000000"/>
                <w:kern w:val="0"/>
                <w:sz w:val="22"/>
                <w:highlight w:val="none"/>
                <w:lang w:bidi="ar"/>
              </w:rPr>
            </w:pPr>
          </w:p>
        </w:tc>
      </w:tr>
      <w:tr w14:paraId="0DAA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vAlign w:val="center"/>
          </w:tcPr>
          <w:p w14:paraId="2928DF54">
            <w:pPr>
              <w:spacing w:line="240" w:lineRule="auto"/>
              <w:ind w:firstLine="0" w:firstLineChars="0"/>
              <w:jc w:val="center"/>
              <w:textAlignment w:val="center"/>
              <w:rPr>
                <w:rFonts w:cs="宋体"/>
                <w:b/>
                <w:bCs/>
                <w:color w:val="000000"/>
                <w:kern w:val="0"/>
                <w:sz w:val="22"/>
                <w:highlight w:val="none"/>
                <w:lang w:bidi="ar"/>
              </w:rPr>
            </w:pPr>
            <w:r>
              <w:rPr>
                <w:rFonts w:hint="eastAsia" w:cs="宋体"/>
                <w:b/>
                <w:bCs/>
                <w:color w:val="000000"/>
                <w:kern w:val="0"/>
                <w:sz w:val="22"/>
                <w:highlight w:val="none"/>
                <w:lang w:bidi="ar"/>
              </w:rPr>
              <w:t>7</w:t>
            </w:r>
          </w:p>
        </w:tc>
        <w:tc>
          <w:tcPr>
            <w:tcW w:w="713" w:type="pct"/>
            <w:vAlign w:val="center"/>
          </w:tcPr>
          <w:p w14:paraId="200C7155">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运维安全网关服务</w:t>
            </w:r>
          </w:p>
        </w:tc>
        <w:tc>
          <w:tcPr>
            <w:tcW w:w="3064" w:type="pct"/>
            <w:vAlign w:val="center"/>
          </w:tcPr>
          <w:p w14:paraId="18649F3A">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对运维人员的所有操作进行全量记录与审计，包括命令行操作、文件传输、数据库查询等，支持操作回放与行为追溯。敏感数据防护服务：在运维过程中对敏感数据进行实时脱敏、访问过滤，限制高危操作（如批量导出数据库、删除核心文件），防止运维环节的数据</w:t>
            </w:r>
            <w:r>
              <w:rPr>
                <w:rFonts w:hint="eastAsia" w:cs="宋体"/>
                <w:color w:val="000000"/>
                <w:kern w:val="0"/>
                <w:sz w:val="22"/>
                <w:highlight w:val="none"/>
                <w:lang w:eastAsia="zh-CN" w:bidi="ar"/>
              </w:rPr>
              <w:t>泄漏</w:t>
            </w:r>
            <w:r>
              <w:rPr>
                <w:rFonts w:hint="eastAsia" w:cs="宋体"/>
                <w:color w:val="000000"/>
                <w:kern w:val="0"/>
                <w:sz w:val="22"/>
                <w:highlight w:val="none"/>
                <w:lang w:bidi="ar"/>
              </w:rPr>
              <w:t>。合规与报表服务：生成符合等保、数据安全法等要求的运维安全审计报表。</w:t>
            </w:r>
          </w:p>
        </w:tc>
        <w:tc>
          <w:tcPr>
            <w:tcW w:w="842" w:type="pct"/>
            <w:vMerge w:val="continue"/>
            <w:vAlign w:val="center"/>
          </w:tcPr>
          <w:p w14:paraId="673D2346">
            <w:pPr>
              <w:spacing w:line="240" w:lineRule="auto"/>
              <w:ind w:firstLine="0" w:firstLineChars="0"/>
              <w:jc w:val="center"/>
              <w:textAlignment w:val="center"/>
              <w:rPr>
                <w:rFonts w:cs="宋体"/>
                <w:b/>
                <w:bCs/>
                <w:color w:val="000000"/>
                <w:kern w:val="0"/>
                <w:sz w:val="22"/>
                <w:highlight w:val="none"/>
                <w:lang w:bidi="ar"/>
              </w:rPr>
            </w:pPr>
          </w:p>
        </w:tc>
      </w:tr>
      <w:tr w14:paraId="15F3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378" w:type="pct"/>
            <w:vAlign w:val="center"/>
          </w:tcPr>
          <w:p w14:paraId="61DAF7F6">
            <w:pPr>
              <w:spacing w:line="240" w:lineRule="auto"/>
              <w:ind w:firstLine="0" w:firstLineChars="0"/>
              <w:jc w:val="center"/>
              <w:textAlignment w:val="center"/>
              <w:rPr>
                <w:rFonts w:cs="宋体"/>
                <w:b/>
                <w:bCs/>
                <w:color w:val="000000"/>
                <w:kern w:val="0"/>
                <w:sz w:val="22"/>
                <w:highlight w:val="none"/>
                <w:lang w:bidi="ar"/>
              </w:rPr>
            </w:pPr>
            <w:r>
              <w:rPr>
                <w:rFonts w:hint="eastAsia" w:cs="宋体"/>
                <w:b/>
                <w:bCs/>
                <w:color w:val="000000"/>
                <w:kern w:val="0"/>
                <w:sz w:val="22"/>
                <w:highlight w:val="none"/>
                <w:lang w:bidi="ar"/>
              </w:rPr>
              <w:t>8</w:t>
            </w:r>
          </w:p>
        </w:tc>
        <w:tc>
          <w:tcPr>
            <w:tcW w:w="713" w:type="pct"/>
            <w:vAlign w:val="center"/>
          </w:tcPr>
          <w:p w14:paraId="28677BF3">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数据全流量安全监测服务</w:t>
            </w:r>
          </w:p>
        </w:tc>
        <w:tc>
          <w:tcPr>
            <w:tcW w:w="3064" w:type="pct"/>
            <w:vAlign w:val="center"/>
          </w:tcPr>
          <w:p w14:paraId="250ADC1E">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全链路流量采集：覆盖网络层、应用层、数据层的全流量数据采集</w:t>
            </w:r>
            <w:r>
              <w:rPr>
                <w:rFonts w:hint="eastAsia" w:cs="宋体"/>
                <w:color w:val="000000"/>
                <w:kern w:val="0"/>
                <w:sz w:val="22"/>
                <w:highlight w:val="none"/>
                <w:lang w:eastAsia="zh-CN" w:bidi="ar"/>
              </w:rPr>
              <w:t>；</w:t>
            </w:r>
            <w:r>
              <w:rPr>
                <w:rFonts w:hint="eastAsia" w:cs="宋体"/>
                <w:color w:val="000000"/>
                <w:kern w:val="0"/>
                <w:sz w:val="22"/>
                <w:highlight w:val="none"/>
                <w:lang w:bidi="ar"/>
              </w:rPr>
              <w:t>对异常行为</w:t>
            </w:r>
            <w:r>
              <w:rPr>
                <w:rFonts w:hint="eastAsia" w:cs="宋体"/>
                <w:color w:val="000000"/>
                <w:kern w:val="0"/>
                <w:sz w:val="22"/>
                <w:highlight w:val="none"/>
                <w:lang w:eastAsia="zh-CN" w:bidi="ar"/>
              </w:rPr>
              <w:t>进行识别</w:t>
            </w:r>
            <w:r>
              <w:rPr>
                <w:rFonts w:hint="eastAsia" w:cs="宋体"/>
                <w:color w:val="000000"/>
                <w:kern w:val="0"/>
                <w:sz w:val="22"/>
                <w:highlight w:val="none"/>
                <w:lang w:bidi="ar"/>
              </w:rPr>
              <w:t>：对流量中包含的敏感数据进行实时标记、路径追踪，监控其流转过程。安全事件告警与溯源：定位事件的发起主体、操作路径和影响范围。审计与合规报告：生成流量监测审计日志，输出符合法律法规要求的合规报告，支撑数据安全审计与核查工作</w:t>
            </w:r>
          </w:p>
        </w:tc>
        <w:tc>
          <w:tcPr>
            <w:tcW w:w="842" w:type="pct"/>
            <w:vMerge w:val="continue"/>
            <w:vAlign w:val="center"/>
          </w:tcPr>
          <w:p w14:paraId="2CAB1F46">
            <w:pPr>
              <w:spacing w:line="240" w:lineRule="auto"/>
              <w:ind w:firstLine="0" w:firstLineChars="0"/>
              <w:jc w:val="center"/>
              <w:textAlignment w:val="center"/>
              <w:rPr>
                <w:rFonts w:cs="宋体"/>
                <w:b/>
                <w:bCs/>
                <w:color w:val="000000"/>
                <w:kern w:val="0"/>
                <w:sz w:val="22"/>
                <w:highlight w:val="none"/>
                <w:lang w:bidi="ar"/>
              </w:rPr>
            </w:pPr>
          </w:p>
        </w:tc>
      </w:tr>
      <w:bookmarkEnd w:id="33"/>
      <w:bookmarkEnd w:id="34"/>
      <w:bookmarkEnd w:id="35"/>
      <w:bookmarkEnd w:id="36"/>
      <w:bookmarkEnd w:id="37"/>
      <w:bookmarkEnd w:id="38"/>
      <w:bookmarkEnd w:id="39"/>
      <w:bookmarkEnd w:id="40"/>
      <w:bookmarkEnd w:id="41"/>
    </w:tbl>
    <w:p w14:paraId="3CCAD380">
      <w:pPr>
        <w:pStyle w:val="4"/>
        <w:numPr>
          <w:ilvl w:val="0"/>
          <w:numId w:val="1"/>
        </w:numPr>
        <w:adjustRightInd w:val="0"/>
        <w:snapToGrid w:val="0"/>
        <w:spacing w:before="0" w:after="0"/>
        <w:ind w:firstLine="560"/>
        <w:jc w:val="left"/>
        <w:rPr>
          <w:rFonts w:ascii="Times New Roman" w:hAnsi="Times New Roman" w:eastAsia="方正黑体_GBK" w:cs="Times New Roman"/>
          <w:color w:val="auto"/>
          <w:sz w:val="28"/>
          <w:szCs w:val="28"/>
          <w:highlight w:val="none"/>
        </w:rPr>
      </w:pPr>
      <w:r>
        <w:rPr>
          <w:rFonts w:ascii="Times New Roman" w:hAnsi="Times New Roman" w:eastAsia="方正黑体_GBK" w:cs="Times New Roman"/>
          <w:color w:val="auto"/>
          <w:sz w:val="28"/>
          <w:szCs w:val="28"/>
          <w:highlight w:val="none"/>
        </w:rPr>
        <w:t>项目技术要求</w:t>
      </w:r>
    </w:p>
    <w:tbl>
      <w:tblPr>
        <w:tblStyle w:val="17"/>
        <w:tblW w:w="9396" w:type="dxa"/>
        <w:jc w:val="center"/>
        <w:tblLayout w:type="fixed"/>
        <w:tblCellMar>
          <w:top w:w="0" w:type="dxa"/>
          <w:left w:w="108" w:type="dxa"/>
          <w:bottom w:w="0" w:type="dxa"/>
          <w:right w:w="108" w:type="dxa"/>
        </w:tblCellMar>
      </w:tblPr>
      <w:tblGrid>
        <w:gridCol w:w="696"/>
        <w:gridCol w:w="2421"/>
        <w:gridCol w:w="6279"/>
      </w:tblGrid>
      <w:tr w14:paraId="3B04A460">
        <w:tblPrEx>
          <w:tblCellMar>
            <w:top w:w="0" w:type="dxa"/>
            <w:left w:w="108" w:type="dxa"/>
            <w:bottom w:w="0" w:type="dxa"/>
            <w:right w:w="108" w:type="dxa"/>
          </w:tblCellMar>
        </w:tblPrEx>
        <w:trPr>
          <w:trHeight w:val="58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C20B6C2">
            <w:pPr>
              <w:widowControl/>
              <w:ind w:firstLine="0" w:firstLineChars="0"/>
              <w:textAlignment w:val="center"/>
              <w:rPr>
                <w:rFonts w:ascii="仿宋" w:hAnsi="仿宋" w:eastAsia="仿宋" w:cs="仿宋"/>
                <w:sz w:val="24"/>
                <w:highlight w:val="none"/>
              </w:rPr>
            </w:pPr>
            <w:r>
              <w:rPr>
                <w:rFonts w:hint="eastAsia" w:ascii="仿宋" w:hAnsi="仿宋" w:eastAsia="仿宋" w:cs="仿宋"/>
                <w:sz w:val="24"/>
                <w:highlight w:val="none"/>
              </w:rPr>
              <w:t>序号</w:t>
            </w:r>
          </w:p>
        </w:tc>
        <w:tc>
          <w:tcPr>
            <w:tcW w:w="2421" w:type="dxa"/>
            <w:tcBorders>
              <w:top w:val="single" w:color="000000" w:sz="4" w:space="0"/>
              <w:left w:val="nil"/>
              <w:bottom w:val="single" w:color="000000" w:sz="4" w:space="0"/>
              <w:right w:val="single" w:color="000000" w:sz="4" w:space="0"/>
            </w:tcBorders>
            <w:noWrap/>
            <w:vAlign w:val="center"/>
          </w:tcPr>
          <w:p w14:paraId="1E10017A">
            <w:pPr>
              <w:widowControl/>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名称</w:t>
            </w:r>
          </w:p>
        </w:tc>
        <w:tc>
          <w:tcPr>
            <w:tcW w:w="6279" w:type="dxa"/>
            <w:tcBorders>
              <w:top w:val="single" w:color="000000" w:sz="4" w:space="0"/>
              <w:left w:val="nil"/>
              <w:bottom w:val="single" w:color="000000" w:sz="4" w:space="0"/>
              <w:right w:val="single" w:color="000000" w:sz="4" w:space="0"/>
            </w:tcBorders>
            <w:vAlign w:val="center"/>
          </w:tcPr>
          <w:p w14:paraId="6715665B">
            <w:pPr>
              <w:widowControl/>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技术要求</w:t>
            </w:r>
          </w:p>
        </w:tc>
      </w:tr>
      <w:tr w14:paraId="092CAD3A">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C22BF42">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1</w:t>
            </w:r>
          </w:p>
        </w:tc>
        <w:tc>
          <w:tcPr>
            <w:tcW w:w="2421" w:type="dxa"/>
            <w:tcBorders>
              <w:top w:val="single" w:color="000000" w:sz="4" w:space="0"/>
              <w:left w:val="nil"/>
              <w:bottom w:val="single" w:color="000000" w:sz="4" w:space="0"/>
              <w:right w:val="single" w:color="000000" w:sz="4" w:space="0"/>
            </w:tcBorders>
            <w:noWrap/>
            <w:vAlign w:val="center"/>
          </w:tcPr>
          <w:p w14:paraId="1C100C4A">
            <w:pPr>
              <w:spacing w:line="240" w:lineRule="auto"/>
              <w:ind w:firstLine="0" w:firstLineChars="0"/>
              <w:jc w:val="center"/>
              <w:textAlignment w:val="center"/>
              <w:rPr>
                <w:rFonts w:ascii="仿宋" w:hAnsi="仿宋" w:eastAsia="仿宋" w:cs="仿宋"/>
                <w:sz w:val="24"/>
                <w:highlight w:val="none"/>
              </w:rPr>
            </w:pPr>
            <w:r>
              <w:rPr>
                <w:rFonts w:hint="eastAsia" w:cs="宋体"/>
                <w:color w:val="000000"/>
                <w:kern w:val="0"/>
                <w:sz w:val="22"/>
                <w:highlight w:val="none"/>
                <w:lang w:bidi="ar"/>
              </w:rPr>
              <w:t>通用技术要求</w:t>
            </w:r>
          </w:p>
        </w:tc>
        <w:tc>
          <w:tcPr>
            <w:tcW w:w="6279" w:type="dxa"/>
            <w:tcBorders>
              <w:top w:val="single" w:color="000000" w:sz="4" w:space="0"/>
              <w:left w:val="nil"/>
              <w:bottom w:val="single" w:color="000000" w:sz="4" w:space="0"/>
              <w:right w:val="single" w:color="000000" w:sz="4" w:space="0"/>
            </w:tcBorders>
            <w:vAlign w:val="center"/>
          </w:tcPr>
          <w:p w14:paraId="2EB42709">
            <w:pPr>
              <w:widowControl/>
              <w:spacing w:line="400" w:lineRule="exact"/>
              <w:ind w:firstLine="0" w:firstLineChars="0"/>
              <w:jc w:val="left"/>
              <w:textAlignment w:val="center"/>
              <w:rPr>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采用“现场+远程”模式，现场不少于</w:t>
            </w:r>
            <w:r>
              <w:rPr>
                <w:rFonts w:hint="eastAsia" w:ascii="仿宋" w:hAnsi="仿宋" w:eastAsia="仿宋" w:cs="仿宋"/>
                <w:sz w:val="24"/>
                <w:highlight w:val="none"/>
                <w:lang w:eastAsia="zh-CN"/>
              </w:rPr>
              <w:t xml:space="preserve"> 2 名</w:t>
            </w:r>
            <w:r>
              <w:rPr>
                <w:rFonts w:hint="eastAsia" w:ascii="仿宋" w:hAnsi="仿宋" w:eastAsia="仿宋" w:cs="仿宋"/>
                <w:sz w:val="24"/>
                <w:highlight w:val="none"/>
              </w:rPr>
              <w:t>专职人员，远程</w:t>
            </w:r>
            <w:r>
              <w:rPr>
                <w:rFonts w:hint="eastAsia" w:ascii="仿宋" w:hAnsi="仿宋" w:eastAsia="仿宋" w:cs="仿宋"/>
                <w:sz w:val="24"/>
                <w:highlight w:val="none"/>
                <w:lang w:eastAsia="zh-CN"/>
              </w:rPr>
              <w:t xml:space="preserve"> 7</w:t>
            </w:r>
            <w:r>
              <w:rPr>
                <w:rFonts w:hint="eastAsia" w:ascii="仿宋" w:hAnsi="仿宋" w:eastAsia="仿宋" w:cs="仿宋"/>
                <w:sz w:val="24"/>
                <w:highlight w:val="none"/>
              </w:rPr>
              <w:t>×24</w:t>
            </w:r>
            <w:r>
              <w:rPr>
                <w:rFonts w:hint="eastAsia" w:ascii="仿宋" w:hAnsi="仿宋" w:eastAsia="仿宋" w:cs="仿宋"/>
                <w:sz w:val="24"/>
                <w:highlight w:val="none"/>
                <w:lang w:eastAsia="zh-CN"/>
              </w:rPr>
              <w:t xml:space="preserve"> 小时</w:t>
            </w:r>
            <w:r>
              <w:rPr>
                <w:rFonts w:hint="eastAsia" w:ascii="仿宋" w:hAnsi="仿宋" w:eastAsia="仿宋" w:cs="仿宋"/>
                <w:sz w:val="24"/>
                <w:highlight w:val="none"/>
              </w:rPr>
              <w:t>响应，紧急事件≤</w:t>
            </w:r>
            <w:r>
              <w:rPr>
                <w:rFonts w:hint="eastAsia" w:ascii="仿宋" w:hAnsi="仿宋" w:eastAsia="仿宋" w:cs="仿宋"/>
                <w:sz w:val="24"/>
                <w:highlight w:val="none"/>
                <w:lang w:eastAsia="zh-CN"/>
              </w:rPr>
              <w:t xml:space="preserve"> 15 分钟</w:t>
            </w:r>
            <w:r>
              <w:rPr>
                <w:rFonts w:hint="eastAsia" w:ascii="仿宋" w:hAnsi="仿宋" w:eastAsia="仿宋" w:cs="仿宋"/>
                <w:sz w:val="24"/>
                <w:highlight w:val="none"/>
              </w:rPr>
              <w:t>、普通≤30</w:t>
            </w:r>
            <w:r>
              <w:rPr>
                <w:rFonts w:hint="eastAsia" w:ascii="仿宋" w:hAnsi="仿宋" w:eastAsia="仿宋" w:cs="仿宋"/>
                <w:sz w:val="24"/>
                <w:highlight w:val="none"/>
                <w:lang w:eastAsia="zh-CN"/>
              </w:rPr>
              <w:t xml:space="preserve"> 分钟</w:t>
            </w:r>
            <w:r>
              <w:rPr>
                <w:rFonts w:hint="eastAsia" w:ascii="仿宋" w:hAnsi="仿宋" w:eastAsia="仿宋" w:cs="仿宋"/>
                <w:sz w:val="24"/>
                <w:highlight w:val="none"/>
              </w:rPr>
              <w:t>，人员服从调度并严守保密规定。</w:t>
            </w:r>
          </w:p>
          <w:p w14:paraId="4CB65020">
            <w:pPr>
              <w:widowControl/>
              <w:spacing w:line="400" w:lineRule="exact"/>
              <w:ind w:firstLine="0" w:firstLineChars="0"/>
              <w:jc w:val="left"/>
              <w:textAlignment w:val="center"/>
              <w:rPr>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严格遵循数据安全、个保法等法规及重庆地</w:t>
            </w:r>
            <w:r>
              <w:rPr>
                <w:rFonts w:hint="eastAsia" w:ascii="仿宋" w:hAnsi="仿宋" w:eastAsia="仿宋" w:cs="仿宋"/>
                <w:sz w:val="24"/>
                <w:highlight w:val="none"/>
                <w:lang w:eastAsia="zh-CN"/>
              </w:rPr>
              <w:t>方性</w:t>
            </w:r>
            <w:r>
              <w:rPr>
                <w:rFonts w:hint="eastAsia" w:ascii="仿宋" w:hAnsi="仿宋" w:eastAsia="仿宋" w:cs="仿宋"/>
                <w:sz w:val="24"/>
                <w:highlight w:val="none"/>
              </w:rPr>
              <w:t>规范，贴合人大系统安全要求，确保服务全流程及交付结果合规。</w:t>
            </w:r>
          </w:p>
        </w:tc>
      </w:tr>
      <w:tr w14:paraId="22F49877">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1FE3622">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2</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606F6255">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软件供应链安全测评</w:t>
            </w:r>
          </w:p>
        </w:tc>
        <w:tc>
          <w:tcPr>
            <w:tcW w:w="6279" w:type="dxa"/>
            <w:tcBorders>
              <w:top w:val="single" w:color="000000" w:sz="4" w:space="0"/>
              <w:left w:val="nil"/>
              <w:bottom w:val="single" w:color="000000" w:sz="4" w:space="0"/>
              <w:right w:val="single" w:color="000000" w:sz="4" w:space="0"/>
            </w:tcBorders>
            <w:vAlign w:val="center"/>
          </w:tcPr>
          <w:p w14:paraId="2C1C489F">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全面覆盖系统开发期所有软件及组件，</w:t>
            </w:r>
            <w:r>
              <w:rPr>
                <w:rFonts w:hint="eastAsia" w:ascii="仿宋" w:hAnsi="仿宋" w:eastAsia="仿宋" w:cs="仿宋"/>
                <w:sz w:val="24"/>
                <w:highlight w:val="none"/>
                <w:lang w:eastAsia="zh-CN"/>
              </w:rPr>
              <w:t>包括</w:t>
            </w:r>
            <w:r>
              <w:rPr>
                <w:rFonts w:hint="eastAsia" w:ascii="仿宋" w:hAnsi="仿宋" w:eastAsia="仿宋" w:cs="仿宋"/>
                <w:sz w:val="24"/>
                <w:highlight w:val="none"/>
              </w:rPr>
              <w:t>开源、第三方、自研组件等，无测评盲区，确保覆盖完整。</w:t>
            </w:r>
          </w:p>
          <w:p w14:paraId="541ACB42">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完成软件成分分析，识别组件信息</w:t>
            </w:r>
            <w:r>
              <w:rPr>
                <w:rFonts w:hint="eastAsia" w:ascii="仿宋" w:hAnsi="仿宋" w:eastAsia="仿宋" w:cs="仿宋"/>
                <w:sz w:val="24"/>
                <w:highlight w:val="none"/>
                <w:lang w:eastAsia="zh-CN"/>
              </w:rPr>
              <w:t>、漏洞及</w:t>
            </w:r>
            <w:r>
              <w:rPr>
                <w:rFonts w:hint="eastAsia" w:ascii="仿宋" w:hAnsi="仿宋" w:eastAsia="仿宋" w:cs="仿宋"/>
                <w:sz w:val="24"/>
                <w:highlight w:val="none"/>
              </w:rPr>
              <w:t>许可证合规性，形成风险清单及高危组件整改方案。</w:t>
            </w:r>
          </w:p>
        </w:tc>
      </w:tr>
      <w:tr w14:paraId="309CBB90">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C89DFE1">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3</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705E7BA0">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数据安全评估服务</w:t>
            </w:r>
          </w:p>
        </w:tc>
        <w:tc>
          <w:tcPr>
            <w:tcW w:w="6279" w:type="dxa"/>
            <w:tcBorders>
              <w:top w:val="single" w:color="000000" w:sz="4" w:space="0"/>
              <w:left w:val="nil"/>
              <w:bottom w:val="single" w:color="000000" w:sz="4" w:space="0"/>
              <w:right w:val="single" w:color="000000" w:sz="4" w:space="0"/>
            </w:tcBorders>
            <w:vAlign w:val="center"/>
          </w:tcPr>
          <w:p w14:paraId="73B98E80">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rPr>
              <w:t>依据数据安全相关法律法规和所属行业监管要求，结合客户应用系统的数据安全能力成熟度等级，从组织建设、制度流程、技术工具</w:t>
            </w:r>
            <w:r>
              <w:rPr>
                <w:rFonts w:hint="eastAsia" w:ascii="仿宋" w:hAnsi="仿宋" w:eastAsia="仿宋" w:cs="仿宋"/>
                <w:sz w:val="24"/>
                <w:highlight w:val="none"/>
                <w:lang w:eastAsia="zh-CN"/>
              </w:rPr>
              <w:t>和</w:t>
            </w:r>
            <w:r>
              <w:rPr>
                <w:rFonts w:hint="eastAsia" w:ascii="仿宋" w:hAnsi="仿宋" w:eastAsia="仿宋" w:cs="仿宋"/>
                <w:sz w:val="24"/>
                <w:highlight w:val="none"/>
              </w:rPr>
              <w:t>人员能力</w:t>
            </w:r>
            <w:r>
              <w:rPr>
                <w:rFonts w:hint="eastAsia" w:ascii="仿宋" w:hAnsi="仿宋" w:eastAsia="仿宋" w:cs="仿宋"/>
                <w:sz w:val="24"/>
                <w:highlight w:val="none"/>
                <w:lang w:eastAsia="zh-CN"/>
              </w:rPr>
              <w:t>等方面对</w:t>
            </w:r>
            <w:r>
              <w:rPr>
                <w:rFonts w:hint="eastAsia" w:ascii="仿宋" w:hAnsi="仿宋" w:eastAsia="仿宋" w:cs="仿宋"/>
                <w:sz w:val="24"/>
                <w:highlight w:val="none"/>
              </w:rPr>
              <w:t>应用系统数据安全现状</w:t>
            </w:r>
            <w:r>
              <w:rPr>
                <w:rFonts w:hint="eastAsia" w:ascii="仿宋" w:hAnsi="仿宋" w:eastAsia="仿宋" w:cs="仿宋"/>
                <w:sz w:val="24"/>
                <w:highlight w:val="none"/>
                <w:lang w:eastAsia="zh-CN"/>
              </w:rPr>
              <w:t>进行</w:t>
            </w:r>
            <w:r>
              <w:rPr>
                <w:rFonts w:hint="eastAsia" w:ascii="仿宋" w:hAnsi="仿宋" w:eastAsia="仿宋" w:cs="仿宋"/>
                <w:sz w:val="24"/>
                <w:highlight w:val="none"/>
              </w:rPr>
              <w:t>评估。</w:t>
            </w:r>
          </w:p>
        </w:tc>
      </w:tr>
      <w:tr w14:paraId="6B32144C">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7D44EEB">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4</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76E44B69">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数据安全分类分级服务</w:t>
            </w:r>
          </w:p>
        </w:tc>
        <w:tc>
          <w:tcPr>
            <w:tcW w:w="6279" w:type="dxa"/>
            <w:tcBorders>
              <w:top w:val="single" w:color="000000" w:sz="4" w:space="0"/>
              <w:left w:val="nil"/>
              <w:bottom w:val="single" w:color="000000" w:sz="4" w:space="0"/>
              <w:right w:val="single" w:color="000000" w:sz="4" w:space="0"/>
            </w:tcBorders>
            <w:vAlign w:val="center"/>
          </w:tcPr>
          <w:p w14:paraId="2F2DE445">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遵循国家及重庆相关规范，结合人大系统业务特点，制定贴合实际、可落地的分类分级标准并经双方确认。</w:t>
            </w:r>
          </w:p>
          <w:p w14:paraId="0E9AFEEA">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按数据重要程度</w:t>
            </w:r>
            <w:r>
              <w:rPr>
                <w:rFonts w:hint="eastAsia" w:ascii="仿宋" w:hAnsi="仿宋" w:eastAsia="仿宋" w:cs="仿宋"/>
                <w:sz w:val="24"/>
                <w:highlight w:val="none"/>
                <w:lang w:eastAsia="zh-CN"/>
              </w:rPr>
              <w:t>和泄漏</w:t>
            </w:r>
            <w:r>
              <w:rPr>
                <w:rFonts w:hint="eastAsia" w:ascii="仿宋" w:hAnsi="仿宋" w:eastAsia="仿宋" w:cs="仿宋"/>
                <w:sz w:val="24"/>
                <w:highlight w:val="none"/>
              </w:rPr>
              <w:t>影响</w:t>
            </w:r>
            <w:r>
              <w:rPr>
                <w:rFonts w:hint="eastAsia" w:ascii="仿宋" w:hAnsi="仿宋" w:eastAsia="仿宋" w:cs="仿宋"/>
                <w:sz w:val="24"/>
                <w:highlight w:val="none"/>
                <w:lang w:eastAsia="zh-CN"/>
              </w:rPr>
              <w:t>进行分级</w:t>
            </w:r>
            <w:r>
              <w:rPr>
                <w:rFonts w:hint="eastAsia" w:ascii="仿宋" w:hAnsi="仿宋" w:eastAsia="仿宋" w:cs="仿宋"/>
                <w:sz w:val="24"/>
                <w:highlight w:val="none"/>
              </w:rPr>
              <w:t>，明确各级保护标准、访问权限及专项防护措施。</w:t>
            </w:r>
          </w:p>
        </w:tc>
      </w:tr>
      <w:tr w14:paraId="6853E4ED">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B4197C6">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5</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1E6883FD">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数据安全技术服务</w:t>
            </w:r>
          </w:p>
        </w:tc>
        <w:tc>
          <w:tcPr>
            <w:tcW w:w="6279" w:type="dxa"/>
            <w:tcBorders>
              <w:top w:val="single" w:color="000000" w:sz="4" w:space="0"/>
              <w:left w:val="nil"/>
              <w:bottom w:val="single" w:color="000000" w:sz="4" w:space="0"/>
              <w:right w:val="single" w:color="000000" w:sz="4" w:space="0"/>
            </w:tcBorders>
            <w:vAlign w:val="center"/>
          </w:tcPr>
          <w:p w14:paraId="2A9C3A88">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每月开展漏洞扫描，全面检测系统设备、应用及数据库漏洞，明确等级、影响范围及修复建议。</w:t>
            </w:r>
          </w:p>
          <w:p w14:paraId="467E4108">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采用手动</w:t>
            </w:r>
            <w:r>
              <w:rPr>
                <w:rFonts w:hint="eastAsia" w:ascii="仿宋" w:hAnsi="仿宋" w:eastAsia="仿宋" w:cs="仿宋"/>
                <w:sz w:val="24"/>
                <w:highlight w:val="none"/>
                <w:lang w:eastAsia="zh-CN"/>
              </w:rPr>
              <w:t>与</w:t>
            </w:r>
            <w:r>
              <w:rPr>
                <w:rFonts w:hint="eastAsia" w:ascii="仿宋" w:hAnsi="仿宋" w:eastAsia="仿宋" w:cs="仿宋"/>
                <w:sz w:val="24"/>
                <w:highlight w:val="none"/>
              </w:rPr>
              <w:t>工具</w:t>
            </w:r>
            <w:r>
              <w:rPr>
                <w:rFonts w:hint="eastAsia" w:ascii="仿宋" w:hAnsi="仿宋" w:eastAsia="仿宋" w:cs="仿宋"/>
                <w:sz w:val="24"/>
                <w:highlight w:val="none"/>
                <w:lang w:eastAsia="zh-CN"/>
              </w:rPr>
              <w:t>相结合的</w:t>
            </w:r>
            <w:r>
              <w:rPr>
                <w:rFonts w:hint="eastAsia" w:ascii="仿宋" w:hAnsi="仿宋" w:eastAsia="仿宋" w:cs="仿宋"/>
                <w:sz w:val="24"/>
                <w:highlight w:val="none"/>
              </w:rPr>
              <w:t>方式开展渗透测试，模拟真实攻击，排查系统安全薄弱环节并提供加固方案。</w:t>
            </w:r>
          </w:p>
          <w:p w14:paraId="7491B0A3">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识别系统内敏感数据，核查存储、访问情况，排查</w:t>
            </w:r>
            <w:r>
              <w:rPr>
                <w:rFonts w:hint="eastAsia" w:ascii="仿宋" w:hAnsi="仿宋" w:eastAsia="仿宋" w:cs="仿宋"/>
                <w:sz w:val="24"/>
                <w:highlight w:val="none"/>
                <w:lang w:eastAsia="zh-CN"/>
              </w:rPr>
              <w:t>泄漏</w:t>
            </w:r>
            <w:r>
              <w:rPr>
                <w:rFonts w:hint="eastAsia" w:ascii="仿宋" w:hAnsi="仿宋" w:eastAsia="仿宋" w:cs="仿宋"/>
                <w:sz w:val="24"/>
                <w:highlight w:val="none"/>
              </w:rPr>
              <w:t>、滥用风险，形成核查报告。</w:t>
            </w:r>
          </w:p>
          <w:p w14:paraId="14324A2A">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4.</w:t>
            </w:r>
            <w:r>
              <w:rPr>
                <w:rFonts w:hint="eastAsia" w:ascii="仿宋" w:hAnsi="仿宋" w:eastAsia="仿宋" w:cs="仿宋"/>
                <w:sz w:val="24"/>
                <w:highlight w:val="none"/>
              </w:rPr>
              <w:t>7×24小时提供应急支撑，接到安全事件后及时到场处置、溯源，完成系统恢复并提交报告。</w:t>
            </w:r>
          </w:p>
        </w:tc>
      </w:tr>
      <w:tr w14:paraId="041F1376">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58256B9">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6</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2445F65D">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数据安全治理服务</w:t>
            </w:r>
          </w:p>
        </w:tc>
        <w:tc>
          <w:tcPr>
            <w:tcW w:w="6279" w:type="dxa"/>
            <w:tcBorders>
              <w:top w:val="single" w:color="000000" w:sz="4" w:space="0"/>
              <w:left w:val="nil"/>
              <w:bottom w:val="single" w:color="000000" w:sz="4" w:space="0"/>
              <w:right w:val="single" w:color="000000" w:sz="4" w:space="0"/>
            </w:tcBorders>
            <w:vAlign w:val="center"/>
          </w:tcPr>
          <w:p w14:paraId="2B090AB4">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全面梳理系统全域数据资产，明确权属、存储等信息，划分分类分级，建立可动态更新的资产台账。</w:t>
            </w:r>
          </w:p>
          <w:p w14:paraId="14EC68B8">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结合系统需求，制定完善的数据安全管理制度及流程，明确岗位职责，确保可落地、可执行。</w:t>
            </w:r>
          </w:p>
          <w:p w14:paraId="4C7A1FB4">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开展日常安全监控及审计，记录操作日志，识别违规行为并及时处置，定期复盘优化治理体系。</w:t>
            </w:r>
          </w:p>
        </w:tc>
      </w:tr>
      <w:tr w14:paraId="77481136">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73A4BE4">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7</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527E423E">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数据安全能力服务</w:t>
            </w:r>
          </w:p>
        </w:tc>
        <w:tc>
          <w:tcPr>
            <w:tcW w:w="6279" w:type="dxa"/>
            <w:tcBorders>
              <w:top w:val="single" w:color="000000" w:sz="4" w:space="0"/>
              <w:left w:val="nil"/>
              <w:bottom w:val="single" w:color="000000" w:sz="4" w:space="0"/>
              <w:right w:val="single" w:color="000000" w:sz="4" w:space="0"/>
            </w:tcBorders>
            <w:vAlign w:val="center"/>
          </w:tcPr>
          <w:p w14:paraId="50C02B40">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rPr>
              <w:t>针对分类分级结果，对核心、重要数据实施专项防护，规范访问控制，防范越权访问。</w:t>
            </w:r>
          </w:p>
        </w:tc>
      </w:tr>
      <w:tr w14:paraId="4BBD440C">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2C93217">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8</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1B935E5F">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运维安全网关服务</w:t>
            </w:r>
          </w:p>
        </w:tc>
        <w:tc>
          <w:tcPr>
            <w:tcW w:w="6279" w:type="dxa"/>
            <w:tcBorders>
              <w:top w:val="single" w:color="000000" w:sz="4" w:space="0"/>
              <w:left w:val="nil"/>
              <w:bottom w:val="single" w:color="000000" w:sz="4" w:space="0"/>
              <w:right w:val="single" w:color="000000" w:sz="4" w:space="0"/>
            </w:tcBorders>
            <w:vAlign w:val="center"/>
          </w:tcPr>
          <w:p w14:paraId="7F9816F5">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实现运维操作集中管控</w:t>
            </w:r>
            <w:r>
              <w:rPr>
                <w:rFonts w:hint="eastAsia" w:ascii="仿宋" w:hAnsi="仿宋" w:eastAsia="仿宋" w:cs="仿宋"/>
                <w:sz w:val="24"/>
                <w:highlight w:val="none"/>
                <w:lang w:eastAsia="zh-CN"/>
              </w:rPr>
              <w:t>和</w:t>
            </w:r>
            <w:r>
              <w:rPr>
                <w:rFonts w:hint="eastAsia" w:ascii="仿宋" w:hAnsi="仿宋" w:eastAsia="仿宋" w:cs="仿宋"/>
                <w:sz w:val="24"/>
                <w:highlight w:val="none"/>
              </w:rPr>
              <w:t>身份统一认证，杜绝未授权运维访问。</w:t>
            </w:r>
          </w:p>
          <w:p w14:paraId="08B5BAE8">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具备细粒度权限管控能力，按岗位分配运维权限，实现最小权限原则，防范越权运维风险。</w:t>
            </w:r>
          </w:p>
          <w:p w14:paraId="3ECFFA2C">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保障网关稳定运行，7×24小时实时监测，出现故障及时处置，确保运维服务不中断、安全可控。</w:t>
            </w:r>
          </w:p>
        </w:tc>
      </w:tr>
      <w:tr w14:paraId="118659DC">
        <w:tblPrEx>
          <w:tblCellMar>
            <w:top w:w="0" w:type="dxa"/>
            <w:left w:w="108" w:type="dxa"/>
            <w:bottom w:w="0" w:type="dxa"/>
            <w:right w:w="108" w:type="dxa"/>
          </w:tblCellMar>
        </w:tblPrEx>
        <w:trPr>
          <w:trHeight w:val="42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6E866F0">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9</w:t>
            </w:r>
          </w:p>
        </w:tc>
        <w:tc>
          <w:tcPr>
            <w:tcW w:w="2421" w:type="dxa"/>
            <w:tcBorders>
              <w:top w:val="single" w:color="000000" w:sz="4" w:space="0"/>
              <w:left w:val="nil"/>
              <w:bottom w:val="single" w:color="000000" w:sz="4" w:space="0"/>
              <w:right w:val="single" w:color="000000" w:sz="4" w:space="0"/>
            </w:tcBorders>
            <w:shd w:val="clear" w:color="auto" w:fill="auto"/>
            <w:noWrap/>
            <w:vAlign w:val="center"/>
          </w:tcPr>
          <w:p w14:paraId="0CC1D238">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数据全流量安全监测服务</w:t>
            </w:r>
          </w:p>
        </w:tc>
        <w:tc>
          <w:tcPr>
            <w:tcW w:w="6279" w:type="dxa"/>
            <w:tcBorders>
              <w:top w:val="single" w:color="000000" w:sz="4" w:space="0"/>
              <w:left w:val="nil"/>
              <w:bottom w:val="single" w:color="000000" w:sz="4" w:space="0"/>
              <w:right w:val="single" w:color="000000" w:sz="4" w:space="0"/>
            </w:tcBorders>
            <w:vAlign w:val="center"/>
          </w:tcPr>
          <w:p w14:paraId="02AA5755">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覆盖系统所有网络出入口及内部数据流量，实时监测数据传输、访问、交互全流程，无监测盲区。</w:t>
            </w:r>
          </w:p>
          <w:p w14:paraId="5BE51911">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具备敏感数据识别、异常流量检测能力，可及时发现数据泄露、恶意攻击等异常行为并预警。</w:t>
            </w:r>
          </w:p>
          <w:p w14:paraId="7EFF7C10">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留存流量监测日志，明确日志格式、保存期限，贴合合规要求，为安全事件溯源提供支撑。</w:t>
            </w:r>
          </w:p>
          <w:p w14:paraId="2A476F52">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4.</w:t>
            </w:r>
            <w:r>
              <w:rPr>
                <w:rFonts w:hint="eastAsia" w:ascii="仿宋" w:hAnsi="仿宋" w:eastAsia="仿宋" w:cs="仿宋"/>
                <w:sz w:val="24"/>
                <w:highlight w:val="none"/>
              </w:rPr>
              <w:t>定期分析监测数据，形成流量安全报告，识别潜在风险，提供针对性优化及防护建议。</w:t>
            </w:r>
          </w:p>
        </w:tc>
      </w:tr>
    </w:tbl>
    <w:p w14:paraId="6A3201D2">
      <w:pPr>
        <w:pStyle w:val="4"/>
        <w:adjustRightInd w:val="0"/>
        <w:snapToGrid w:val="0"/>
        <w:spacing w:before="0" w:after="0"/>
        <w:ind w:firstLine="560"/>
        <w:jc w:val="left"/>
        <w:rPr>
          <w:rFonts w:ascii="Times New Roman" w:hAnsi="Times New Roman" w:eastAsia="方正黑体_GBK" w:cs="Times New Roman"/>
          <w:color w:val="auto"/>
          <w:sz w:val="28"/>
          <w:szCs w:val="28"/>
          <w:highlight w:val="none"/>
        </w:rPr>
      </w:pPr>
      <w:r>
        <w:rPr>
          <w:rFonts w:ascii="Times New Roman" w:hAnsi="Times New Roman" w:eastAsia="方正黑体_GBK" w:cs="Times New Roman"/>
          <w:color w:val="auto"/>
          <w:sz w:val="28"/>
          <w:szCs w:val="28"/>
          <w:highlight w:val="none"/>
        </w:rPr>
        <w:t>三、服务要求</w:t>
      </w:r>
    </w:p>
    <w:p w14:paraId="1B7CB846">
      <w:pPr>
        <w:ind w:firstLine="560"/>
        <w:rPr>
          <w:rFonts w:ascii="Times New Roman" w:hAnsi="Times New Roman"/>
          <w:color w:val="auto"/>
          <w:spacing w:val="-11"/>
          <w:sz w:val="28"/>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rPr>
        <w:t>）</w:t>
      </w:r>
      <w:r>
        <w:rPr>
          <w:rFonts w:hint="eastAsia" w:ascii="Times New Roman" w:hAnsi="Times New Roman"/>
          <w:color w:val="auto"/>
          <w:spacing w:val="-11"/>
          <w:sz w:val="28"/>
          <w:highlight w:val="none"/>
        </w:rPr>
        <w:t>售后服务：</w:t>
      </w:r>
      <w:r>
        <w:rPr>
          <w:rFonts w:hint="eastAsia" w:ascii="Times New Roman"/>
          <w:spacing w:val="-11"/>
          <w:sz w:val="28"/>
          <w:highlight w:val="none"/>
        </w:rPr>
        <w:t>自建设完成并通过最终验收之日起，提供一年的运维服务。</w:t>
      </w:r>
    </w:p>
    <w:p w14:paraId="1AB606E3">
      <w:pPr>
        <w:numPr>
          <w:ilvl w:val="255"/>
          <w:numId w:val="0"/>
        </w:numPr>
        <w:ind w:firstLine="560" w:firstLineChars="20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rPr>
        <w:t>）售后服务内容：</w:t>
      </w:r>
    </w:p>
    <w:p w14:paraId="5432E172">
      <w:pPr>
        <w:pStyle w:val="8"/>
        <w:spacing w:after="0"/>
        <w:ind w:firstLine="560"/>
        <w:rPr>
          <w:rFonts w:ascii="Times New Roman" w:hAnsi="Times New Roman"/>
          <w:color w:val="auto"/>
          <w:highlight w:val="none"/>
        </w:rPr>
      </w:pPr>
      <w:r>
        <w:rPr>
          <w:rFonts w:hint="eastAsia" w:ascii="Times New Roman" w:hAnsi="Times New Roman"/>
          <w:color w:val="auto"/>
          <w:highlight w:val="none"/>
        </w:rPr>
        <w:t>成交供应商在售后服务期内应当为采购人提供以下技术支持服务：</w:t>
      </w:r>
    </w:p>
    <w:p w14:paraId="3EFFA7FC">
      <w:pPr>
        <w:numPr>
          <w:ilvl w:val="255"/>
          <w:numId w:val="0"/>
        </w:numPr>
        <w:ind w:firstLine="560" w:firstLineChars="200"/>
        <w:rPr>
          <w:rFonts w:ascii="Times New Roman" w:hAnsi="Times New Roman"/>
          <w:color w:val="auto"/>
          <w:highlight w:val="none"/>
        </w:rPr>
      </w:pPr>
      <w:r>
        <w:rPr>
          <w:rFonts w:hint="eastAsia" w:ascii="Times New Roman" w:hAnsi="Times New Roman"/>
          <w:color w:val="auto"/>
          <w:highlight w:val="none"/>
        </w:rPr>
        <w:t>1.成交供应商应当为采购人提供技术援助电话，解答采购人在使用中遇到的问题，及时为采购人提出解决问题的建议。</w:t>
      </w:r>
    </w:p>
    <w:p w14:paraId="70DC32A7">
      <w:pPr>
        <w:numPr>
          <w:ilvl w:val="255"/>
          <w:numId w:val="0"/>
        </w:numPr>
        <w:ind w:firstLine="560" w:firstLineChars="200"/>
        <w:rPr>
          <w:rFonts w:ascii="Times New Roman" w:hAnsi="Times New Roman"/>
          <w:color w:val="auto"/>
          <w:highlight w:val="none"/>
        </w:rPr>
      </w:pPr>
      <w:r>
        <w:rPr>
          <w:rFonts w:hint="eastAsia" w:ascii="Times New Roman" w:hAnsi="Times New Roman"/>
          <w:color w:val="auto"/>
          <w:highlight w:val="none"/>
        </w:rPr>
        <w:t>2.采购人遇到使用及技术问题，电话咨询不能解决的，成交供应商应在2小时内到达现场进行处理，确保产品正常工作；无法在2小时内解决的，应在4小时内提供备用产品，使采购人能够正常使用。</w:t>
      </w:r>
    </w:p>
    <w:p w14:paraId="4A903524">
      <w:pPr>
        <w:numPr>
          <w:ilvl w:val="255"/>
          <w:numId w:val="0"/>
        </w:numPr>
        <w:ind w:firstLine="560" w:firstLineChars="200"/>
        <w:rPr>
          <w:rFonts w:ascii="Times New Roman" w:hAnsi="Times New Roman"/>
          <w:color w:val="auto"/>
          <w:highlight w:val="none"/>
        </w:rPr>
      </w:pPr>
      <w:r>
        <w:rPr>
          <w:rFonts w:hint="eastAsia" w:ascii="Times New Roman" w:hAnsi="Times New Roman"/>
          <w:color w:val="auto"/>
          <w:highlight w:val="none"/>
        </w:rPr>
        <w:t>3.在质保期后，采购人需要继续由原成交供应商提供售后或运维服务的，成交供应商应以优惠价格提供服务。</w:t>
      </w:r>
    </w:p>
    <w:p w14:paraId="19538551">
      <w:pPr>
        <w:pStyle w:val="8"/>
        <w:spacing w:after="0"/>
        <w:ind w:firstLine="56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rPr>
        <w:t>）服务期内，成交供应商应对采购人提供产品使用及维护的培训，应根据项目使用需求提供详细的培训方案。保证采购人能独立操作完成产品日常管理、使用、维护。成交供应商应在项目验收后，组织基础培训和应用系统培训。</w:t>
      </w:r>
    </w:p>
    <w:p w14:paraId="342E22BC">
      <w:pPr>
        <w:pStyle w:val="4"/>
        <w:adjustRightInd w:val="0"/>
        <w:snapToGrid w:val="0"/>
        <w:spacing w:before="0" w:after="0"/>
        <w:ind w:firstLine="560"/>
        <w:jc w:val="left"/>
        <w:rPr>
          <w:rFonts w:ascii="Times New Roman" w:hAnsi="Times New Roman" w:eastAsia="方正黑体_GBK" w:cs="Times New Roman"/>
          <w:color w:val="auto"/>
          <w:sz w:val="28"/>
          <w:szCs w:val="28"/>
          <w:highlight w:val="none"/>
        </w:rPr>
      </w:pPr>
      <w:r>
        <w:rPr>
          <w:rFonts w:ascii="Times New Roman" w:hAnsi="Times New Roman" w:eastAsia="方正黑体_GBK" w:cs="Times New Roman"/>
          <w:color w:val="auto"/>
          <w:sz w:val="28"/>
          <w:szCs w:val="28"/>
          <w:highlight w:val="none"/>
        </w:rPr>
        <w:t>四、项目团队要求</w:t>
      </w:r>
    </w:p>
    <w:bookmarkEnd w:id="25"/>
    <w:p w14:paraId="70E5E1C9">
      <w:pPr>
        <w:pStyle w:val="9"/>
        <w:spacing w:after="0"/>
        <w:ind w:firstLine="560" w:firstLineChars="200"/>
        <w:rPr>
          <w:rFonts w:hint="eastAsia" w:ascii="Times New Roman" w:hAnsi="Times New Roman" w:eastAsia="方正仿宋_GBK"/>
          <w:color w:val="auto"/>
          <w:highlight w:val="none"/>
          <w:lang w:eastAsia="zh-CN"/>
        </w:rPr>
      </w:pPr>
      <w:bookmarkStart w:id="42" w:name="_Toc2027"/>
      <w:r>
        <w:rPr>
          <w:rFonts w:hint="eastAsia" w:ascii="Times New Roman" w:hAnsi="Times New Roman"/>
          <w:color w:val="auto"/>
          <w:highlight w:val="none"/>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rPr>
        <w:t>）参选供应商须为本项目拟派的“现场+远程”服务团队，至少配置项目经理</w:t>
      </w:r>
      <w:r>
        <w:rPr>
          <w:rFonts w:ascii="Times New Roman" w:hAnsi="Times New Roman"/>
          <w:color w:val="auto"/>
          <w:highlight w:val="none"/>
        </w:rPr>
        <w:t>1</w:t>
      </w:r>
      <w:r>
        <w:rPr>
          <w:rFonts w:hint="eastAsia" w:ascii="Times New Roman" w:hAnsi="Times New Roman"/>
          <w:color w:val="auto"/>
          <w:highlight w:val="none"/>
        </w:rPr>
        <w:t>人、信息安全工程师</w:t>
      </w:r>
      <w:r>
        <w:rPr>
          <w:rFonts w:ascii="Times New Roman" w:hAnsi="Times New Roman"/>
          <w:color w:val="auto"/>
          <w:highlight w:val="none"/>
        </w:rPr>
        <w:t>2</w:t>
      </w:r>
      <w:r>
        <w:rPr>
          <w:rFonts w:hint="eastAsia" w:ascii="Times New Roman" w:hAnsi="Times New Roman"/>
          <w:color w:val="auto"/>
          <w:highlight w:val="none"/>
        </w:rPr>
        <w:t>人、渗透测试工程师</w:t>
      </w:r>
      <w:r>
        <w:rPr>
          <w:rFonts w:ascii="Times New Roman" w:hAnsi="Times New Roman"/>
          <w:color w:val="auto"/>
          <w:highlight w:val="none"/>
        </w:rPr>
        <w:t>1</w:t>
      </w:r>
      <w:r>
        <w:rPr>
          <w:rFonts w:hint="eastAsia" w:ascii="Times New Roman" w:hAnsi="Times New Roman"/>
          <w:color w:val="auto"/>
          <w:highlight w:val="none"/>
        </w:rPr>
        <w:t>人（注：配置人员为一人一岗，不得兼任）</w:t>
      </w:r>
      <w:r>
        <w:rPr>
          <w:rFonts w:hint="eastAsia" w:ascii="Times New Roman" w:hAnsi="Times New Roman"/>
          <w:color w:val="auto"/>
          <w:highlight w:val="none"/>
          <w:lang w:eastAsia="zh-CN"/>
        </w:rPr>
        <w:t>。</w:t>
      </w:r>
      <w:bookmarkStart w:id="283" w:name="_GoBack"/>
      <w:bookmarkEnd w:id="283"/>
    </w:p>
    <w:p w14:paraId="3E13DD1F">
      <w:pPr>
        <w:pStyle w:val="9"/>
        <w:numPr>
          <w:numId w:val="0"/>
        </w:numPr>
        <w:spacing w:after="0"/>
        <w:ind w:firstLine="560" w:firstLineChars="200"/>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rPr>
        <w:t>）成交供应商技术团队须全程在采购人指定的地点和场所进行项目实施和运维工作。</w:t>
      </w:r>
    </w:p>
    <w:p w14:paraId="1B16C6E8">
      <w:pPr>
        <w:pStyle w:val="9"/>
        <w:numPr>
          <w:ilvl w:val="255"/>
          <w:numId w:val="0"/>
        </w:numPr>
        <w:spacing w:after="0"/>
        <w:ind w:firstLine="280" w:firstLineChars="100"/>
        <w:rPr>
          <w:rFonts w:ascii="Times New Roman" w:hAnsi="Times New Roman"/>
          <w:color w:val="auto"/>
          <w:highlight w:val="none"/>
        </w:rPr>
      </w:pPr>
    </w:p>
    <w:p w14:paraId="53D9612F">
      <w:pPr>
        <w:pStyle w:val="9"/>
        <w:numPr>
          <w:ilvl w:val="255"/>
          <w:numId w:val="0"/>
        </w:numPr>
        <w:spacing w:after="0"/>
        <w:ind w:firstLine="280" w:firstLineChars="100"/>
        <w:rPr>
          <w:rFonts w:ascii="Times New Roman" w:hAnsi="Times New Roman"/>
          <w:color w:val="auto"/>
          <w:highlight w:val="none"/>
        </w:rPr>
      </w:pPr>
    </w:p>
    <w:p w14:paraId="71472C5A">
      <w:pPr>
        <w:pStyle w:val="9"/>
        <w:numPr>
          <w:ilvl w:val="255"/>
          <w:numId w:val="0"/>
        </w:numPr>
        <w:spacing w:after="0"/>
        <w:ind w:firstLine="280" w:firstLineChars="100"/>
        <w:rPr>
          <w:rFonts w:ascii="Times New Roman" w:hAnsi="Times New Roman"/>
          <w:color w:val="auto"/>
          <w:highlight w:val="none"/>
        </w:rPr>
      </w:pPr>
    </w:p>
    <w:p w14:paraId="6B1EFD14">
      <w:pPr>
        <w:pStyle w:val="9"/>
        <w:numPr>
          <w:ilvl w:val="255"/>
          <w:numId w:val="0"/>
        </w:numPr>
        <w:spacing w:after="0"/>
        <w:ind w:firstLine="280" w:firstLineChars="100"/>
        <w:rPr>
          <w:rFonts w:ascii="Times New Roman" w:hAnsi="Times New Roman"/>
          <w:color w:val="auto"/>
          <w:highlight w:val="none"/>
        </w:rPr>
      </w:pPr>
    </w:p>
    <w:p w14:paraId="0E250D5D">
      <w:pPr>
        <w:pStyle w:val="9"/>
        <w:numPr>
          <w:ilvl w:val="255"/>
          <w:numId w:val="0"/>
        </w:numPr>
        <w:spacing w:after="0"/>
        <w:ind w:firstLine="280" w:firstLineChars="100"/>
        <w:rPr>
          <w:rFonts w:ascii="Times New Roman" w:hAnsi="Times New Roman"/>
          <w:color w:val="auto"/>
          <w:highlight w:val="none"/>
        </w:rPr>
      </w:pPr>
    </w:p>
    <w:p w14:paraId="1E10E72B">
      <w:pPr>
        <w:pStyle w:val="9"/>
        <w:numPr>
          <w:ilvl w:val="255"/>
          <w:numId w:val="0"/>
        </w:numPr>
        <w:spacing w:after="0"/>
        <w:ind w:firstLine="280" w:firstLineChars="100"/>
        <w:rPr>
          <w:rFonts w:ascii="Times New Roman" w:hAnsi="Times New Roman"/>
          <w:color w:val="auto"/>
          <w:highlight w:val="none"/>
        </w:rPr>
      </w:pPr>
    </w:p>
    <w:p w14:paraId="5ED3EC89">
      <w:pPr>
        <w:pStyle w:val="9"/>
        <w:numPr>
          <w:ilvl w:val="255"/>
          <w:numId w:val="0"/>
        </w:numPr>
        <w:spacing w:after="0"/>
        <w:ind w:firstLine="280" w:firstLineChars="100"/>
        <w:rPr>
          <w:rFonts w:ascii="Times New Roman" w:hAnsi="Times New Roman"/>
          <w:color w:val="auto"/>
          <w:highlight w:val="none"/>
        </w:rPr>
      </w:pPr>
    </w:p>
    <w:p w14:paraId="45994B86">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highlight w:val="none"/>
        </w:rPr>
      </w:pPr>
      <w:bookmarkStart w:id="43" w:name="_Toc3496"/>
      <w:bookmarkStart w:id="44" w:name="_Toc32581"/>
      <w:bookmarkStart w:id="45" w:name="_Toc194572017"/>
      <w:bookmarkStart w:id="46" w:name="_Toc105081908"/>
      <w:bookmarkStart w:id="47" w:name="_Toc22650"/>
      <w:bookmarkStart w:id="48" w:name="_Toc7095"/>
      <w:bookmarkStart w:id="49" w:name="_Toc14656"/>
      <w:bookmarkStart w:id="50" w:name="_Toc13316"/>
      <w:r>
        <w:rPr>
          <w:rFonts w:ascii="Times New Roman" w:hAnsi="Times New Roman" w:eastAsia="方正小标宋_GBK" w:cs="Times New Roman"/>
          <w:b/>
          <w:bCs/>
          <w:color w:val="auto"/>
          <w:kern w:val="44"/>
          <w:sz w:val="32"/>
          <w:szCs w:val="44"/>
          <w:highlight w:val="none"/>
        </w:rPr>
        <w:t>第三篇  项目商务要求</w:t>
      </w:r>
      <w:bookmarkEnd w:id="42"/>
      <w:bookmarkEnd w:id="43"/>
      <w:bookmarkEnd w:id="44"/>
      <w:bookmarkEnd w:id="45"/>
      <w:bookmarkEnd w:id="46"/>
      <w:bookmarkEnd w:id="47"/>
      <w:bookmarkEnd w:id="48"/>
      <w:bookmarkEnd w:id="49"/>
      <w:bookmarkEnd w:id="50"/>
    </w:p>
    <w:p w14:paraId="24F32401">
      <w:pPr>
        <w:ind w:firstLine="560"/>
        <w:rPr>
          <w:rFonts w:ascii="Times New Roman" w:hAnsi="Times New Roman" w:eastAsia="方正黑体_GBK"/>
          <w:color w:val="auto"/>
          <w:szCs w:val="28"/>
          <w:highlight w:val="none"/>
        </w:rPr>
      </w:pPr>
      <w:bookmarkStart w:id="51" w:name="_Toc267320049"/>
      <w:bookmarkStart w:id="52" w:name="_Toc17826"/>
      <w:bookmarkStart w:id="53" w:name="_Toc23064"/>
      <w:bookmarkStart w:id="54" w:name="_Toc20306"/>
      <w:bookmarkStart w:id="55" w:name="_Toc105081909"/>
      <w:bookmarkStart w:id="56" w:name="_Toc4022"/>
      <w:bookmarkStart w:id="57" w:name="_Toc12492"/>
      <w:bookmarkStart w:id="58" w:name="_Hlk11539533"/>
      <w:r>
        <w:rPr>
          <w:rFonts w:ascii="Times New Roman" w:hAnsi="Times New Roman" w:eastAsia="方正黑体_GBK"/>
          <w:color w:val="auto"/>
          <w:szCs w:val="20"/>
          <w:highlight w:val="none"/>
        </w:rPr>
        <w:t>一、</w:t>
      </w:r>
      <w:bookmarkEnd w:id="51"/>
      <w:bookmarkEnd w:id="52"/>
      <w:r>
        <w:rPr>
          <w:rFonts w:ascii="Times New Roman" w:hAnsi="Times New Roman" w:eastAsia="方正黑体_GBK"/>
          <w:color w:val="auto"/>
          <w:szCs w:val="20"/>
          <w:highlight w:val="none"/>
        </w:rPr>
        <w:t>服务期、地点</w:t>
      </w:r>
      <w:bookmarkEnd w:id="53"/>
      <w:bookmarkEnd w:id="54"/>
      <w:bookmarkEnd w:id="55"/>
      <w:bookmarkEnd w:id="56"/>
      <w:bookmarkEnd w:id="57"/>
      <w:r>
        <w:rPr>
          <w:rFonts w:hint="eastAsia" w:ascii="Times New Roman" w:hAnsi="Times New Roman" w:eastAsia="方正黑体_GBK"/>
          <w:color w:val="auto"/>
          <w:szCs w:val="20"/>
          <w:highlight w:val="none"/>
        </w:rPr>
        <w:t>及验收方式</w:t>
      </w:r>
    </w:p>
    <w:p w14:paraId="1EB9096A">
      <w:pPr>
        <w:ind w:firstLine="560"/>
        <w:rPr>
          <w:rFonts w:ascii="Times New Roman" w:hAnsi="Times New Roman"/>
          <w:color w:val="auto"/>
          <w:highlight w:val="none"/>
        </w:rPr>
      </w:pPr>
      <w:r>
        <w:rPr>
          <w:rFonts w:ascii="Times New Roman" w:hAnsi="Times New Roman"/>
          <w:color w:val="auto"/>
          <w:highlight w:val="none"/>
        </w:rPr>
        <w:t>（一）服务期：</w:t>
      </w:r>
      <w:r>
        <w:rPr>
          <w:rFonts w:hint="eastAsia" w:ascii="Times New Roman" w:hAnsi="Times New Roman"/>
          <w:color w:val="auto"/>
          <w:highlight w:val="none"/>
        </w:rPr>
        <w:t>合同签订之日起至2026年6月20日，建设完成通过最终验收之日起提供一年的免费运维服务</w:t>
      </w:r>
      <w:r>
        <w:rPr>
          <w:rFonts w:ascii="Times New Roman" w:hAnsi="Times New Roman"/>
          <w:color w:val="auto"/>
          <w:highlight w:val="none"/>
        </w:rPr>
        <w:t>。</w:t>
      </w:r>
    </w:p>
    <w:p w14:paraId="3BAAF330">
      <w:pPr>
        <w:ind w:firstLine="560"/>
        <w:rPr>
          <w:rFonts w:ascii="Times New Roman" w:hAnsi="Times New Roman"/>
          <w:color w:val="auto"/>
          <w:highlight w:val="none"/>
        </w:rPr>
      </w:pPr>
      <w:r>
        <w:rPr>
          <w:rFonts w:ascii="Times New Roman" w:hAnsi="Times New Roman"/>
          <w:color w:val="auto"/>
          <w:highlight w:val="none"/>
        </w:rPr>
        <w:t>（二）服务地点：采购人指定地点</w:t>
      </w:r>
    </w:p>
    <w:p w14:paraId="28403D73">
      <w:pPr>
        <w:pStyle w:val="8"/>
        <w:spacing w:after="0"/>
        <w:ind w:firstLine="560"/>
        <w:rPr>
          <w:highlight w:val="none"/>
        </w:rPr>
      </w:pPr>
      <w:r>
        <w:rPr>
          <w:rFonts w:ascii="Times New Roman" w:hAnsi="Times New Roman"/>
          <w:color w:val="auto"/>
          <w:highlight w:val="none"/>
        </w:rPr>
        <w:t>（</w:t>
      </w:r>
      <w:r>
        <w:rPr>
          <w:rFonts w:hint="eastAsia" w:ascii="Times New Roman" w:hAnsi="Times New Roman"/>
          <w:color w:val="auto"/>
          <w:highlight w:val="none"/>
        </w:rPr>
        <w:t>三</w:t>
      </w:r>
      <w:r>
        <w:rPr>
          <w:rFonts w:ascii="Times New Roman" w:hAnsi="Times New Roman"/>
          <w:color w:val="auto"/>
          <w:highlight w:val="none"/>
        </w:rPr>
        <w:t>）</w:t>
      </w:r>
      <w:r>
        <w:rPr>
          <w:rFonts w:hint="eastAsia" w:ascii="Times New Roman" w:hAnsi="Times New Roman"/>
          <w:color w:val="auto"/>
          <w:highlight w:val="none"/>
        </w:rPr>
        <w:t>考核方式：合同服务期内，若供应商不满足依据本采购文件所提使用要求，采购人有权要求成交供应商进行整改，成交供应商未能及时整改或规定时间内整改不到位，导致采购人或采购人客户被相关部门调度、通报、批评等，造成不良影响的，视情况每次扣除合同总金额的1%—2%，履约期内扣除的总计金额不得超过合同总金额的5%。</w:t>
      </w:r>
    </w:p>
    <w:p w14:paraId="4382236B">
      <w:pPr>
        <w:ind w:firstLine="560"/>
        <w:rPr>
          <w:rFonts w:ascii="Times New Roman" w:hAnsi="Times New Roman"/>
          <w:color w:val="auto"/>
          <w:highlight w:val="none"/>
        </w:rPr>
      </w:pPr>
      <w:r>
        <w:rPr>
          <w:rFonts w:hint="eastAsia" w:ascii="Times New Roman" w:hAnsi="Times New Roman"/>
          <w:color w:val="auto"/>
          <w:highlight w:val="none"/>
        </w:rPr>
        <w:t>（四）验收方式：</w:t>
      </w:r>
    </w:p>
    <w:p w14:paraId="7D6C9585">
      <w:pPr>
        <w:spacing w:line="580" w:lineRule="exact"/>
        <w:ind w:firstLine="560"/>
        <w:rPr>
          <w:rFonts w:ascii="Times New Roman"/>
          <w:highlight w:val="none"/>
        </w:rPr>
      </w:pPr>
      <w:r>
        <w:rPr>
          <w:rFonts w:hint="eastAsia" w:ascii="Times New Roman"/>
          <w:highlight w:val="none"/>
        </w:rPr>
        <w:t>验收方式、条件和内容参照《重庆市政务数字化应用开发操作指南（2025年版）</w:t>
      </w:r>
      <w:r>
        <w:rPr>
          <w:rFonts w:hint="eastAsia" w:ascii="Times New Roman"/>
          <w:highlight w:val="none"/>
          <w:lang w:eastAsia="zh-CN"/>
        </w:rPr>
        <w:t>》和</w:t>
      </w:r>
      <w:r>
        <w:rPr>
          <w:rFonts w:hint="eastAsia" w:ascii="Times New Roman"/>
          <w:highlight w:val="none"/>
        </w:rPr>
        <w:t>《财政部关于进一步加强政府采购需求和履约验收管理的指导意见》（财库（2016</w:t>
      </w:r>
      <w:r>
        <w:rPr>
          <w:rFonts w:hint="eastAsia" w:ascii="Times New Roman"/>
          <w:highlight w:val="none"/>
          <w:lang w:eastAsia="zh-CN"/>
        </w:rPr>
        <w:t>）</w:t>
      </w:r>
      <w:r>
        <w:rPr>
          <w:rFonts w:hint="eastAsia" w:ascii="Times New Roman"/>
          <w:highlight w:val="none"/>
        </w:rPr>
        <w:t xml:space="preserve"> 205 号）执行，若在项目验收前出台了最新标准，则按照最新标准执行。</w:t>
      </w:r>
    </w:p>
    <w:p w14:paraId="49B11B22">
      <w:pPr>
        <w:spacing w:line="580" w:lineRule="exact"/>
        <w:ind w:firstLine="560"/>
        <w:rPr>
          <w:rFonts w:ascii="Times New Roman"/>
          <w:highlight w:val="none"/>
        </w:rPr>
      </w:pPr>
      <w:r>
        <w:rPr>
          <w:rFonts w:hint="eastAsia" w:ascii="Times New Roman"/>
          <w:highlight w:val="none"/>
        </w:rPr>
        <w:t>项目初步验收：自本合同签署之日起2026年6月20日，乙方满足初步验收的标准（完成合同内约定的所有建设任务、并与重庆市公共数据资源管理系统、一体化智能化公共数据平台、三级城市运行与治理中心、基层智治平台的适配及联调联试达到初步验收标准）经测试合格且能满足系统运行要求，方可进行项目初步验收，初步验收后项目进入试运行阶段。</w:t>
      </w:r>
    </w:p>
    <w:p w14:paraId="2A6ABF18">
      <w:pPr>
        <w:spacing w:line="580" w:lineRule="exact"/>
        <w:ind w:firstLine="560"/>
        <w:rPr>
          <w:rFonts w:ascii="Times New Roman"/>
          <w:highlight w:val="none"/>
        </w:rPr>
      </w:pPr>
      <w:r>
        <w:rPr>
          <w:rFonts w:hint="eastAsia" w:ascii="Times New Roman"/>
          <w:highlight w:val="none"/>
        </w:rPr>
        <w:t>项目最终验收：初步验收完成且试运行满90个日历日后，项目满足最终验收的要求（符合《重庆市政务数字化应用开发操作指南（2025年版）》及数字重庆建设的相关要求，并符合信息安全等级保护测评（三级）、软件测评、密码应用安全性评估要求）后，方可进行项目最终验收。</w:t>
      </w:r>
    </w:p>
    <w:p w14:paraId="3FA82B3B">
      <w:pPr>
        <w:ind w:firstLine="560"/>
        <w:rPr>
          <w:rFonts w:ascii="Times New Roman" w:hAnsi="Times New Roman" w:eastAsia="方正黑体_GBK"/>
          <w:color w:val="auto"/>
          <w:szCs w:val="20"/>
          <w:highlight w:val="none"/>
        </w:rPr>
      </w:pPr>
      <w:bookmarkStart w:id="59" w:name="_Toc31339"/>
      <w:bookmarkStart w:id="60" w:name="_Toc10219"/>
      <w:bookmarkStart w:id="61" w:name="_Toc105081910"/>
      <w:bookmarkStart w:id="62" w:name="_Toc12735"/>
      <w:bookmarkStart w:id="63" w:name="_Toc10611"/>
      <w:bookmarkStart w:id="64" w:name="_Toc1991"/>
      <w:bookmarkStart w:id="65" w:name="_Toc267320050"/>
      <w:r>
        <w:rPr>
          <w:rFonts w:ascii="Times New Roman" w:hAnsi="Times New Roman" w:eastAsia="方正黑体_GBK"/>
          <w:color w:val="auto"/>
          <w:szCs w:val="20"/>
          <w:highlight w:val="none"/>
        </w:rPr>
        <w:t>二、报价要求</w:t>
      </w:r>
      <w:bookmarkEnd w:id="59"/>
      <w:bookmarkEnd w:id="60"/>
      <w:bookmarkEnd w:id="61"/>
      <w:bookmarkEnd w:id="62"/>
      <w:bookmarkEnd w:id="63"/>
      <w:bookmarkEnd w:id="64"/>
    </w:p>
    <w:bookmarkEnd w:id="65"/>
    <w:p w14:paraId="318F5C90">
      <w:pPr>
        <w:adjustRightInd w:val="0"/>
        <w:snapToGrid w:val="0"/>
        <w:ind w:firstLine="560"/>
        <w:rPr>
          <w:color w:val="000000"/>
          <w:szCs w:val="28"/>
          <w:highlight w:val="none"/>
        </w:rPr>
      </w:pPr>
      <w:bookmarkStart w:id="66" w:name="_Toc9507"/>
      <w:bookmarkStart w:id="67" w:name="_Toc16784"/>
      <w:bookmarkStart w:id="68" w:name="_Toc267320051"/>
      <w:bookmarkStart w:id="69" w:name="_Toc10958"/>
      <w:bookmarkStart w:id="70" w:name="_Toc29796"/>
      <w:bookmarkStart w:id="71" w:name="_Toc1752"/>
      <w:r>
        <w:rPr>
          <w:rFonts w:hint="eastAsia"/>
          <w:color w:val="000000"/>
          <w:szCs w:val="28"/>
          <w:highlight w:val="none"/>
        </w:rPr>
        <w:t>参选人所报的参选价格为总价，价格构成包括：完成本项目所需的基础设施相关服务费用、软件设计费、人工费、差旅费、住宿交通费、运输费、企业管理费、提供服务所需的设备或货物购买（制造）费、风险费、办公费、技术培训费、安装调试费、运维服务费、利润以及各种应缴税费等费用等需完成本项目所涉及的全部费用。</w:t>
      </w:r>
    </w:p>
    <w:p w14:paraId="63DEC9E4">
      <w:pPr>
        <w:ind w:firstLine="560"/>
        <w:rPr>
          <w:rFonts w:ascii="Times New Roman" w:hAnsi="Times New Roman" w:eastAsia="方正黑体_GBK"/>
          <w:color w:val="auto"/>
          <w:szCs w:val="20"/>
          <w:highlight w:val="none"/>
        </w:rPr>
      </w:pPr>
      <w:bookmarkStart w:id="72" w:name="_Toc105081911"/>
      <w:r>
        <w:rPr>
          <w:rFonts w:ascii="Times New Roman" w:hAnsi="Times New Roman" w:eastAsia="方正黑体_GBK"/>
          <w:color w:val="auto"/>
          <w:szCs w:val="20"/>
          <w:highlight w:val="none"/>
        </w:rPr>
        <w:t>三、付款方式</w:t>
      </w:r>
      <w:bookmarkEnd w:id="66"/>
      <w:bookmarkEnd w:id="67"/>
      <w:bookmarkEnd w:id="68"/>
      <w:bookmarkEnd w:id="69"/>
      <w:bookmarkEnd w:id="70"/>
      <w:bookmarkEnd w:id="71"/>
      <w:bookmarkEnd w:id="72"/>
      <w:bookmarkStart w:id="73" w:name="_Toc267320052"/>
    </w:p>
    <w:bookmarkEnd w:id="73"/>
    <w:p w14:paraId="043EDEE2">
      <w:pPr>
        <w:ind w:firstLine="560"/>
        <w:rPr>
          <w:color w:val="000000"/>
          <w:szCs w:val="28"/>
          <w:highlight w:val="none"/>
        </w:rPr>
      </w:pPr>
      <w:bookmarkStart w:id="74" w:name="_Toc105081912"/>
      <w:bookmarkStart w:id="75" w:name="_Toc15007"/>
      <w:bookmarkStart w:id="76" w:name="_Toc5159"/>
      <w:bookmarkStart w:id="77" w:name="_Toc16668"/>
      <w:bookmarkStart w:id="78" w:name="_Toc3751"/>
      <w:bookmarkStart w:id="79" w:name="_Toc3084"/>
      <w:r>
        <w:rPr>
          <w:rFonts w:hint="eastAsia"/>
          <w:color w:val="000000"/>
          <w:szCs w:val="28"/>
          <w:highlight w:val="none"/>
        </w:rPr>
        <w:t>（一）本项目分</w:t>
      </w:r>
      <w:r>
        <w:rPr>
          <w:color w:val="000000"/>
          <w:szCs w:val="28"/>
          <w:highlight w:val="none"/>
        </w:rPr>
        <w:t>4</w:t>
      </w:r>
      <w:r>
        <w:rPr>
          <w:rFonts w:hint="eastAsia"/>
          <w:color w:val="000000"/>
          <w:szCs w:val="28"/>
          <w:highlight w:val="none"/>
        </w:rPr>
        <w:t>次付款：</w:t>
      </w:r>
    </w:p>
    <w:p w14:paraId="45CBEAE4">
      <w:pPr>
        <w:ind w:firstLine="560"/>
        <w:rPr>
          <w:rFonts w:ascii="Times New Roman" w:hAnsi="Times New Roman"/>
          <w:color w:val="000000"/>
          <w:szCs w:val="28"/>
          <w:highlight w:val="none"/>
        </w:rPr>
      </w:pPr>
      <w:r>
        <w:rPr>
          <w:rFonts w:ascii="Times New Roman" w:hAnsi="Times New Roman"/>
          <w:color w:val="000000"/>
          <w:szCs w:val="28"/>
          <w:highlight w:val="none"/>
        </w:rPr>
        <w:t>（1）合同签订后30个工作日内，采购人收到成交供应商开具的合同金额50%的增值税发票的15个工作日内，向成交供应商支付合同金额的50%；</w:t>
      </w:r>
    </w:p>
    <w:p w14:paraId="3A6AFA5D">
      <w:pPr>
        <w:ind w:firstLine="560"/>
        <w:rPr>
          <w:rFonts w:ascii="Times New Roman" w:hAnsi="Times New Roman"/>
          <w:color w:val="000000"/>
          <w:szCs w:val="28"/>
          <w:highlight w:val="none"/>
        </w:rPr>
      </w:pPr>
      <w:r>
        <w:rPr>
          <w:rFonts w:ascii="Times New Roman" w:hAnsi="Times New Roman"/>
          <w:color w:val="000000"/>
          <w:szCs w:val="28"/>
          <w:highlight w:val="none"/>
        </w:rPr>
        <w:t>（2）项目完成初步验收之日起30个工作日内，采购人收到成交供应商开具的合同金额30%的增值税发票的15个工作日内，向成交供应商支付合同金额的30%。</w:t>
      </w:r>
    </w:p>
    <w:p w14:paraId="35138A77">
      <w:pPr>
        <w:ind w:firstLine="560"/>
        <w:rPr>
          <w:rFonts w:ascii="Times New Roman" w:hAnsi="Times New Roman"/>
          <w:color w:val="000000"/>
          <w:szCs w:val="28"/>
          <w:highlight w:val="none"/>
        </w:rPr>
      </w:pPr>
      <w:r>
        <w:rPr>
          <w:rFonts w:ascii="Times New Roman" w:hAnsi="Times New Roman"/>
          <w:color w:val="000000"/>
          <w:szCs w:val="28"/>
          <w:highlight w:val="none"/>
        </w:rPr>
        <w:t>（3）项目试运行期结束并最终验收合格后30个工作日内，采购人收到成交供应商开具的合同金额15%的增值税发票的15个工作日内，向成交供应商支付合同金额的15%。</w:t>
      </w:r>
    </w:p>
    <w:p w14:paraId="49B3D86A">
      <w:pPr>
        <w:ind w:firstLine="560"/>
        <w:rPr>
          <w:rFonts w:ascii="Times New Roman" w:hAnsi="Times New Roman"/>
          <w:color w:val="000000"/>
          <w:szCs w:val="28"/>
          <w:highlight w:val="none"/>
        </w:rPr>
      </w:pPr>
      <w:r>
        <w:rPr>
          <w:rFonts w:ascii="Times New Roman" w:hAnsi="Times New Roman"/>
          <w:color w:val="000000"/>
          <w:szCs w:val="28"/>
          <w:highlight w:val="none"/>
        </w:rPr>
        <w:t>（4）免费运维期结束后30个工作日内，采购人收到成交供应商开具的合同金额5%的增值税发票的15个工作日内，向成交供应商支付合同金额的5%。</w:t>
      </w:r>
    </w:p>
    <w:p w14:paraId="1382248A">
      <w:pPr>
        <w:ind w:firstLineChars="0"/>
        <w:rPr>
          <w:rFonts w:ascii="Times New Roman" w:hAnsi="Times New Roman"/>
          <w:color w:val="auto"/>
          <w:highlight w:val="none"/>
        </w:rPr>
      </w:pPr>
      <w:r>
        <w:rPr>
          <w:rFonts w:ascii="Times New Roman" w:hAnsi="Times New Roman"/>
          <w:color w:val="auto"/>
          <w:highlight w:val="none"/>
        </w:rPr>
        <w:t xml:space="preserve"> （</w:t>
      </w:r>
      <w:r>
        <w:rPr>
          <w:rFonts w:hint="eastAsia" w:ascii="Times New Roman" w:hAnsi="Times New Roman"/>
          <w:color w:val="auto"/>
          <w:highlight w:val="none"/>
        </w:rPr>
        <w:t>二</w:t>
      </w:r>
      <w:r>
        <w:rPr>
          <w:rFonts w:ascii="Times New Roman" w:hAnsi="Times New Roman"/>
          <w:color w:val="auto"/>
          <w:highlight w:val="none"/>
        </w:rPr>
        <w:t>）</w:t>
      </w:r>
      <w:r>
        <w:rPr>
          <w:rFonts w:hint="eastAsia" w:ascii="Times New Roman" w:hAnsi="Times New Roman"/>
          <w:color w:val="auto"/>
          <w:highlight w:val="none"/>
        </w:rPr>
        <w:t>每次付款前成交供应商向采购人开具等额发票，采购人以转账方式向成交供应商支付。</w:t>
      </w:r>
    </w:p>
    <w:p w14:paraId="37001292">
      <w:pPr>
        <w:ind w:firstLine="560"/>
        <w:rPr>
          <w:rFonts w:ascii="Times New Roman" w:hAnsi="Times New Roman" w:eastAsia="方正黑体_GBK"/>
          <w:color w:val="auto"/>
          <w:szCs w:val="20"/>
          <w:highlight w:val="none"/>
        </w:rPr>
      </w:pPr>
      <w:r>
        <w:rPr>
          <w:rFonts w:ascii="Times New Roman" w:hAnsi="Times New Roman" w:eastAsia="方正黑体_GBK"/>
          <w:color w:val="auto"/>
          <w:szCs w:val="20"/>
          <w:highlight w:val="none"/>
        </w:rPr>
        <w:t>四、</w:t>
      </w:r>
      <w:bookmarkStart w:id="80" w:name="_Toc11060"/>
      <w:bookmarkStart w:id="81" w:name="_Toc20369"/>
      <w:bookmarkStart w:id="82" w:name="_Toc18959"/>
      <w:bookmarkStart w:id="83" w:name="_Toc4339"/>
      <w:bookmarkStart w:id="84" w:name="_Toc28056"/>
      <w:bookmarkStart w:id="85" w:name="_Toc11399"/>
      <w:bookmarkStart w:id="86" w:name="_Toc27144"/>
      <w:bookmarkStart w:id="87" w:name="_Toc10105"/>
      <w:bookmarkStart w:id="88" w:name="_Toc4897"/>
      <w:bookmarkStart w:id="89" w:name="_Toc3565"/>
      <w:bookmarkStart w:id="90" w:name="_Toc75793513"/>
      <w:bookmarkStart w:id="91" w:name="_Toc3311"/>
      <w:bookmarkStart w:id="92" w:name="_Toc9213"/>
      <w:bookmarkStart w:id="93" w:name="_Toc25410"/>
      <w:bookmarkStart w:id="94" w:name="_Toc22431"/>
      <w:r>
        <w:rPr>
          <w:rFonts w:ascii="Times New Roman" w:hAnsi="Times New Roman" w:eastAsia="方正黑体_GBK"/>
          <w:color w:val="auto"/>
          <w:szCs w:val="20"/>
          <w:highlight w:val="none"/>
        </w:rPr>
        <w:t>知识产权</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方正黑体_GBK"/>
          <w:color w:val="auto"/>
          <w:szCs w:val="20"/>
          <w:highlight w:val="none"/>
        </w:rPr>
        <w:t>​</w:t>
      </w:r>
    </w:p>
    <w:p w14:paraId="18D5318D">
      <w:pPr>
        <w:adjustRightInd w:val="0"/>
        <w:snapToGrid w:val="0"/>
        <w:ind w:firstLine="560"/>
        <w:rPr>
          <w:color w:val="000000"/>
          <w:szCs w:val="28"/>
          <w:highlight w:val="none"/>
        </w:rPr>
      </w:pPr>
      <w:r>
        <w:rPr>
          <w:rFonts w:hint="eastAsia"/>
          <w:color w:val="000000"/>
          <w:szCs w:val="28"/>
          <w:highlight w:val="none"/>
        </w:rPr>
        <w:t>（一）采购人在中华人民共和国境内使用成交供应商提供的货物及服务时免受第三方提出的侵犯其专利权或其他知识产权的起诉。如果第三方提出侵权指控，成交供应商应承担由此而引起的一切法律责任和费用。</w:t>
      </w:r>
    </w:p>
    <w:p w14:paraId="45DA9EC7">
      <w:pPr>
        <w:adjustRightInd w:val="0"/>
        <w:snapToGrid w:val="0"/>
        <w:ind w:firstLine="560"/>
        <w:rPr>
          <w:color w:val="000000"/>
          <w:szCs w:val="28"/>
          <w:highlight w:val="none"/>
        </w:rPr>
      </w:pPr>
      <w:r>
        <w:rPr>
          <w:rFonts w:hint="eastAsia"/>
          <w:color w:val="000000"/>
          <w:szCs w:val="28"/>
          <w:highlight w:val="none"/>
        </w:rPr>
        <w:t>（二）成交供应商保证向采购人交付的货物、软件、技术资料、服务内容等，不会侵犯 任何第三人的专利权、著作权、商标权、商业秘密、其他知识产权或者其他民事 权利。如成交供应商违反上述规定，则成交供应商应负责消除采购人拥有并使用成交供应商交付的货物、软件、技术资料等所存在的全部法律障碍，并赔偿采购人的损失。</w:t>
      </w:r>
    </w:p>
    <w:p w14:paraId="6F0A06BE">
      <w:pPr>
        <w:adjustRightInd w:val="0"/>
        <w:snapToGrid w:val="0"/>
        <w:ind w:firstLine="560"/>
        <w:rPr>
          <w:color w:val="000000"/>
          <w:szCs w:val="28"/>
          <w:highlight w:val="none"/>
        </w:rPr>
      </w:pPr>
      <w:r>
        <w:rPr>
          <w:rFonts w:hint="eastAsia"/>
          <w:color w:val="000000"/>
          <w:szCs w:val="28"/>
          <w:highlight w:val="none"/>
        </w:rPr>
        <w:t>（三）在未征得采购人事先书面同意的情况下，成交供应商不得擅自转让本项目产生的成果，不得在公开场合发表、发布及使用。</w:t>
      </w:r>
    </w:p>
    <w:p w14:paraId="6EB187AE">
      <w:pPr>
        <w:ind w:firstLine="560"/>
        <w:rPr>
          <w:rFonts w:ascii="Times New Roman" w:hAnsi="Times New Roman" w:eastAsia="方正黑体_GBK"/>
          <w:color w:val="auto"/>
          <w:szCs w:val="20"/>
          <w:highlight w:val="none"/>
        </w:rPr>
      </w:pPr>
      <w:bookmarkStart w:id="95" w:name="_Toc13507"/>
      <w:bookmarkStart w:id="96" w:name="_Toc5505"/>
      <w:r>
        <w:rPr>
          <w:rFonts w:ascii="Times New Roman" w:hAnsi="Times New Roman" w:eastAsia="方正黑体_GBK"/>
          <w:color w:val="auto"/>
          <w:szCs w:val="20"/>
          <w:highlight w:val="none"/>
        </w:rPr>
        <w:t>五、保密要求</w:t>
      </w:r>
      <w:bookmarkEnd w:id="95"/>
      <w:bookmarkEnd w:id="96"/>
    </w:p>
    <w:p w14:paraId="2BAF0457">
      <w:pPr>
        <w:adjustRightInd w:val="0"/>
        <w:snapToGrid w:val="0"/>
        <w:ind w:firstLine="560"/>
        <w:rPr>
          <w:color w:val="000000"/>
          <w:szCs w:val="28"/>
          <w:highlight w:val="none"/>
        </w:rPr>
      </w:pPr>
      <w:r>
        <w:rPr>
          <w:rFonts w:hint="eastAsia"/>
          <w:color w:val="000000"/>
          <w:szCs w:val="28"/>
          <w:highlight w:val="none"/>
        </w:rPr>
        <w:t>（一）自合同签订之日起，成交供应商有责任对采购人通过口头、书面、电子或其他方式提供的各种技术文件（软件、咨询报告、服务内容）以及工作业务信息进行保密，未经采购人书面批准不得提供给第三方。如有违反，成交供应商应承担相应的法律责任。</w:t>
      </w:r>
    </w:p>
    <w:p w14:paraId="74464742">
      <w:pPr>
        <w:adjustRightInd w:val="0"/>
        <w:snapToGrid w:val="0"/>
        <w:ind w:firstLine="560"/>
        <w:rPr>
          <w:color w:val="000000"/>
          <w:szCs w:val="28"/>
          <w:highlight w:val="none"/>
        </w:rPr>
      </w:pPr>
      <w:r>
        <w:rPr>
          <w:rFonts w:hint="eastAsia"/>
          <w:color w:val="000000"/>
          <w:szCs w:val="28"/>
          <w:highlight w:val="none"/>
        </w:rPr>
        <w:t>（二）签订合同的同时，成交供应商必须与采购人签订《安全保密协议》，此保密协议所规定的保密义务不因本合同的终止而免除。成交供应商或其员工如违反《安全保密协议》，造成采购人信息泄露，成交供应商必须承担全部责任并赔偿采购人的一切损失，采购人有权追究成交供应商的法律责任并终止合同。</w:t>
      </w:r>
    </w:p>
    <w:p w14:paraId="47289E05">
      <w:pPr>
        <w:adjustRightInd w:val="0"/>
        <w:snapToGrid w:val="0"/>
        <w:ind w:firstLine="560"/>
        <w:rPr>
          <w:color w:val="000000"/>
          <w:szCs w:val="28"/>
          <w:highlight w:val="none"/>
        </w:rPr>
      </w:pPr>
      <w:r>
        <w:rPr>
          <w:rFonts w:hint="eastAsia"/>
          <w:color w:val="000000"/>
          <w:szCs w:val="28"/>
          <w:highlight w:val="none"/>
        </w:rPr>
        <w:t>（三）在建设过程中，成交供应商应组织所有项目组成员进行安全和保密培训，增强所有参与项目的人员安全和保密意识。</w:t>
      </w:r>
    </w:p>
    <w:p w14:paraId="7C430725">
      <w:pPr>
        <w:ind w:firstLine="560"/>
        <w:rPr>
          <w:rFonts w:ascii="Times New Roman" w:hAnsi="Times New Roman" w:eastAsia="方正黑体_GBK"/>
          <w:color w:val="auto"/>
          <w:szCs w:val="20"/>
          <w:highlight w:val="none"/>
        </w:rPr>
      </w:pPr>
      <w:r>
        <w:rPr>
          <w:rFonts w:hint="eastAsia" w:ascii="Times New Roman" w:hAnsi="Times New Roman" w:eastAsia="方正黑体_GBK"/>
          <w:color w:val="auto"/>
          <w:szCs w:val="20"/>
          <w:highlight w:val="none"/>
        </w:rPr>
        <w:t>六、劳动争议</w:t>
      </w:r>
    </w:p>
    <w:p w14:paraId="327614C6">
      <w:pPr>
        <w:adjustRightInd w:val="0"/>
        <w:snapToGrid w:val="0"/>
        <w:ind w:firstLine="560"/>
        <w:rPr>
          <w:color w:val="000000"/>
          <w:szCs w:val="28"/>
          <w:highlight w:val="none"/>
        </w:rPr>
      </w:pPr>
      <w:r>
        <w:rPr>
          <w:rFonts w:hint="eastAsia"/>
          <w:color w:val="000000"/>
          <w:szCs w:val="28"/>
          <w:highlight w:val="none"/>
        </w:rPr>
        <w:t>（一）成交供应商须遵守作业操作规程、安全规章制度及相关法律法规。在成交供应商提供履约过程中，如发生工伤事故或财产损失的，或因成交供应商合同行为造成他人人身财产损害及权益受损的，由成交供应商承担责任；因成交供应商合同行为造成的各种行政处罚等一切责任和费用，均由成交供应商自行承担。</w:t>
      </w:r>
    </w:p>
    <w:p w14:paraId="7707ACFE">
      <w:pPr>
        <w:adjustRightInd w:val="0"/>
        <w:snapToGrid w:val="0"/>
        <w:ind w:firstLine="560"/>
        <w:rPr>
          <w:color w:val="000000"/>
          <w:szCs w:val="28"/>
          <w:highlight w:val="none"/>
        </w:rPr>
      </w:pPr>
      <w:r>
        <w:rPr>
          <w:rFonts w:hint="eastAsia"/>
          <w:color w:val="000000"/>
          <w:szCs w:val="28"/>
          <w:highlight w:val="none"/>
        </w:rPr>
        <w:t>（二）在成交供应商履约过程中，因成交供应商履约行为导致的任何纠纷或投诉、任何争议责任的调查确定及承担，均由成交供应商自行应对和负责。</w:t>
      </w:r>
    </w:p>
    <w:p w14:paraId="02C0874C">
      <w:pPr>
        <w:ind w:firstLine="560"/>
        <w:rPr>
          <w:rFonts w:ascii="Times New Roman" w:hAnsi="Times New Roman" w:eastAsia="方正黑体_GBK"/>
          <w:color w:val="auto"/>
          <w:szCs w:val="20"/>
          <w:highlight w:val="none"/>
        </w:rPr>
      </w:pPr>
      <w:r>
        <w:rPr>
          <w:rFonts w:hint="eastAsia" w:ascii="Times New Roman" w:hAnsi="Times New Roman" w:eastAsia="方正黑体_GBK"/>
          <w:color w:val="auto"/>
          <w:szCs w:val="20"/>
          <w:highlight w:val="none"/>
        </w:rPr>
        <w:t>七、</w:t>
      </w:r>
      <w:r>
        <w:rPr>
          <w:rFonts w:ascii="Times New Roman" w:hAnsi="Times New Roman" w:eastAsia="方正黑体_GBK"/>
          <w:color w:val="auto"/>
          <w:szCs w:val="20"/>
          <w:highlight w:val="none"/>
        </w:rPr>
        <w:t>其他商务要求内容</w:t>
      </w:r>
      <w:bookmarkEnd w:id="74"/>
      <w:bookmarkEnd w:id="75"/>
      <w:bookmarkEnd w:id="76"/>
      <w:bookmarkEnd w:id="77"/>
      <w:bookmarkEnd w:id="78"/>
      <w:bookmarkEnd w:id="79"/>
    </w:p>
    <w:p w14:paraId="2F1314D3">
      <w:pPr>
        <w:ind w:firstLine="560"/>
        <w:rPr>
          <w:rFonts w:ascii="Times New Roman" w:hAnsi="Times New Roman"/>
          <w:color w:val="auto"/>
          <w:highlight w:val="none"/>
        </w:rPr>
      </w:pPr>
      <w:r>
        <w:rPr>
          <w:rFonts w:ascii="Times New Roman" w:hAnsi="Times New Roman"/>
          <w:color w:val="auto"/>
          <w:highlight w:val="none"/>
        </w:rPr>
        <w:t xml:space="preserve"> （一）未经采购人的同意，项目中选供应商不得将中选的项目分包、转让给其他单位。否则，采购人可随时取消其中选资格，由此给采购人和中选供应商造成的经济损失均由中选供应商全部承担。</w:t>
      </w:r>
    </w:p>
    <w:p w14:paraId="0A12AE90">
      <w:pPr>
        <w:ind w:firstLine="758" w:firstLineChars="271"/>
        <w:rPr>
          <w:rFonts w:ascii="Times New Roman" w:hAnsi="Times New Roman"/>
          <w:color w:val="auto"/>
          <w:highlight w:val="none"/>
        </w:rPr>
      </w:pPr>
      <w:r>
        <w:rPr>
          <w:rFonts w:ascii="Times New Roman" w:hAnsi="Times New Roman"/>
          <w:color w:val="auto"/>
          <w:highlight w:val="none"/>
        </w:rPr>
        <w:t>（二）其他未尽事宜由供需双方在采购合同中详细约定</w:t>
      </w:r>
      <w:bookmarkEnd w:id="58"/>
      <w:r>
        <w:rPr>
          <w:rFonts w:ascii="Times New Roman" w:hAnsi="Times New Roman"/>
          <w:color w:val="auto"/>
          <w:highlight w:val="none"/>
        </w:rPr>
        <w:t>。</w:t>
      </w:r>
      <w:bookmarkStart w:id="97" w:name="_Toc17562"/>
      <w:bookmarkStart w:id="98" w:name="_Toc15237"/>
      <w:bookmarkStart w:id="99" w:name="_Toc10303"/>
      <w:bookmarkStart w:id="100" w:name="_Toc10997"/>
      <w:bookmarkStart w:id="101" w:name="_Toc6979"/>
      <w:bookmarkStart w:id="102" w:name="_Toc194572018"/>
      <w:bookmarkStart w:id="103" w:name="_Toc105081922"/>
      <w:bookmarkStart w:id="104" w:name="_Toc10285"/>
    </w:p>
    <w:p w14:paraId="0577D967">
      <w:pPr>
        <w:pStyle w:val="2"/>
        <w:ind w:firstLine="480" w:firstLineChars="0"/>
        <w:rPr>
          <w:color w:val="auto"/>
          <w:highlight w:val="none"/>
        </w:rPr>
      </w:pPr>
    </w:p>
    <w:p w14:paraId="4955BF53">
      <w:pPr>
        <w:ind w:firstLine="0" w:firstLineChars="0"/>
        <w:rPr>
          <w:rFonts w:ascii="Times New Roman" w:hAnsi="Times New Roman"/>
          <w:color w:val="auto"/>
          <w:highlight w:val="none"/>
        </w:rPr>
      </w:pPr>
    </w:p>
    <w:p w14:paraId="50D43FD8">
      <w:pPr>
        <w:pStyle w:val="2"/>
        <w:ind w:firstLine="480"/>
        <w:rPr>
          <w:highlight w:val="none"/>
        </w:rPr>
      </w:pPr>
    </w:p>
    <w:p w14:paraId="0A694B0A">
      <w:pPr>
        <w:pStyle w:val="2"/>
        <w:ind w:left="0" w:leftChars="0" w:firstLine="0" w:firstLineChars="0"/>
        <w:rPr>
          <w:highlight w:val="none"/>
        </w:rPr>
      </w:pPr>
    </w:p>
    <w:p w14:paraId="7999B36F">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highlight w:val="none"/>
        </w:rPr>
      </w:pPr>
      <w:bookmarkStart w:id="105" w:name="_Toc16706"/>
      <w:r>
        <w:rPr>
          <w:rFonts w:ascii="Times New Roman" w:hAnsi="Times New Roman" w:eastAsia="方正小标宋_GBK" w:cs="Times New Roman"/>
          <w:b/>
          <w:bCs/>
          <w:color w:val="auto"/>
          <w:kern w:val="44"/>
          <w:sz w:val="32"/>
          <w:szCs w:val="44"/>
          <w:highlight w:val="none"/>
        </w:rPr>
        <w:t xml:space="preserve">第四篇  </w:t>
      </w:r>
      <w:bookmarkEnd w:id="97"/>
      <w:r>
        <w:rPr>
          <w:rFonts w:ascii="Times New Roman" w:hAnsi="Times New Roman" w:eastAsia="方正小标宋_GBK" w:cs="Times New Roman"/>
          <w:b/>
          <w:bCs/>
          <w:color w:val="auto"/>
          <w:kern w:val="44"/>
          <w:sz w:val="32"/>
          <w:szCs w:val="44"/>
          <w:highlight w:val="none"/>
        </w:rPr>
        <w:t>比选程序及方法、评审标准</w:t>
      </w:r>
      <w:bookmarkEnd w:id="98"/>
      <w:bookmarkEnd w:id="99"/>
      <w:bookmarkEnd w:id="100"/>
      <w:bookmarkEnd w:id="101"/>
      <w:bookmarkEnd w:id="102"/>
      <w:bookmarkEnd w:id="103"/>
      <w:bookmarkEnd w:id="104"/>
      <w:bookmarkEnd w:id="105"/>
    </w:p>
    <w:p w14:paraId="188592D3">
      <w:pPr>
        <w:pStyle w:val="4"/>
        <w:adjustRightInd w:val="0"/>
        <w:snapToGrid w:val="0"/>
        <w:ind w:firstLine="560"/>
        <w:jc w:val="left"/>
        <w:rPr>
          <w:rFonts w:ascii="Times New Roman" w:hAnsi="Times New Roman" w:eastAsia="方正黑体_GBK" w:cs="Times New Roman"/>
          <w:color w:val="auto"/>
          <w:sz w:val="28"/>
          <w:szCs w:val="20"/>
          <w:highlight w:val="none"/>
        </w:rPr>
      </w:pPr>
      <w:bookmarkStart w:id="106" w:name="_Toc1398"/>
      <w:bookmarkStart w:id="107" w:name="_Toc4083"/>
      <w:bookmarkStart w:id="108" w:name="_Toc31606"/>
      <w:bookmarkStart w:id="109" w:name="_Toc105081923"/>
      <w:bookmarkStart w:id="110" w:name="_Toc23862"/>
      <w:r>
        <w:rPr>
          <w:rFonts w:hint="eastAsia" w:ascii="Times New Roman" w:hAnsi="Times New Roman" w:eastAsia="方正黑体_GBK" w:cs="Times New Roman"/>
          <w:color w:val="auto"/>
          <w:sz w:val="28"/>
          <w:szCs w:val="20"/>
          <w:highlight w:val="none"/>
        </w:rPr>
        <w:t>一、比选程序及方法</w:t>
      </w:r>
      <w:bookmarkEnd w:id="106"/>
      <w:bookmarkEnd w:id="107"/>
      <w:bookmarkEnd w:id="108"/>
      <w:bookmarkEnd w:id="109"/>
      <w:bookmarkEnd w:id="110"/>
    </w:p>
    <w:p w14:paraId="575E78E6">
      <w:pPr>
        <w:ind w:firstLine="560"/>
        <w:rPr>
          <w:rFonts w:ascii="Times New Roman" w:hAnsi="Times New Roman"/>
          <w:color w:val="auto"/>
          <w:highlight w:val="none"/>
        </w:rPr>
      </w:pPr>
      <w:bookmarkStart w:id="111" w:name="_Toc492721015"/>
      <w:bookmarkStart w:id="112" w:name="_Toc8811"/>
      <w:r>
        <w:rPr>
          <w:rFonts w:ascii="Times New Roman" w:hAnsi="Times New Roman"/>
          <w:color w:val="auto"/>
          <w:highlight w:val="none"/>
        </w:rPr>
        <w:t>（一）比选按竞争性比选文件规定的时间和地点进行，供应商须有法定代表人或其授权代表参加并签到。</w:t>
      </w:r>
    </w:p>
    <w:p w14:paraId="5E50FDFF">
      <w:pPr>
        <w:ind w:firstLine="560"/>
        <w:rPr>
          <w:rFonts w:ascii="Times New Roman" w:hAnsi="Times New Roman"/>
          <w:color w:val="auto"/>
          <w:highlight w:val="none"/>
        </w:rPr>
      </w:pPr>
      <w:r>
        <w:rPr>
          <w:rFonts w:ascii="Times New Roman" w:hAnsi="Times New Roman"/>
          <w:color w:val="auto"/>
          <w:highlight w:val="none"/>
        </w:rPr>
        <w:t>（二）比选小组对各供应商的资格条件、参选文件的有效性、完整性和响应程度进行审查。各供应商只有在完全符合要求的前提下，才能参与正式比选。</w:t>
      </w:r>
    </w:p>
    <w:p w14:paraId="642D15CC">
      <w:pPr>
        <w:ind w:firstLine="560"/>
        <w:rPr>
          <w:rFonts w:ascii="Times New Roman" w:hAnsi="Times New Roman"/>
          <w:color w:val="auto"/>
          <w:highlight w:val="none"/>
        </w:rPr>
      </w:pPr>
      <w:r>
        <w:rPr>
          <w:rFonts w:ascii="Times New Roman" w:hAnsi="Times New Roman"/>
          <w:color w:val="auto"/>
          <w:highlight w:val="none"/>
        </w:rPr>
        <w:t>1.资格性检查。</w:t>
      </w:r>
    </w:p>
    <w:p w14:paraId="30AA1E1C">
      <w:pPr>
        <w:ind w:firstLine="560"/>
        <w:rPr>
          <w:rFonts w:ascii="Times New Roman" w:hAnsi="Times New Roman"/>
          <w:color w:val="auto"/>
          <w:highlight w:val="none"/>
        </w:rPr>
      </w:pPr>
      <w:r>
        <w:rPr>
          <w:rFonts w:ascii="Times New Roman" w:hAnsi="Times New Roman"/>
          <w:color w:val="auto"/>
          <w:highlight w:val="none"/>
        </w:rPr>
        <w:t>依据法律法规和竞争性比选文件的规定，对参选文件中的资格证明等进行审查，以确定供应商是否具备比选资格。资格性检查资料表如下：</w:t>
      </w:r>
    </w:p>
    <w:bookmarkEnd w:id="111"/>
    <w:bookmarkEnd w:id="112"/>
    <w:tbl>
      <w:tblPr>
        <w:tblStyle w:val="17"/>
        <w:tblW w:w="9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9"/>
        <w:gridCol w:w="4394"/>
        <w:gridCol w:w="3118"/>
      </w:tblGrid>
      <w:tr w14:paraId="141F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784" w:type="dxa"/>
            <w:vAlign w:val="center"/>
          </w:tcPr>
          <w:p w14:paraId="0951DA56">
            <w:pPr>
              <w:spacing w:line="400" w:lineRule="exact"/>
              <w:ind w:firstLine="0" w:firstLineChars="0"/>
              <w:jc w:val="center"/>
              <w:rPr>
                <w:rFonts w:ascii="Times New Roman" w:hAnsi="Times New Roman" w:eastAsia="仿宋"/>
                <w:b/>
                <w:color w:val="auto"/>
                <w:szCs w:val="28"/>
                <w:highlight w:val="none"/>
              </w:rPr>
            </w:pPr>
            <w:r>
              <w:rPr>
                <w:rFonts w:ascii="Times New Roman" w:hAnsi="Times New Roman" w:eastAsia="仿宋"/>
                <w:b/>
                <w:color w:val="auto"/>
                <w:szCs w:val="28"/>
                <w:highlight w:val="none"/>
              </w:rPr>
              <w:t>序号</w:t>
            </w:r>
          </w:p>
        </w:tc>
        <w:tc>
          <w:tcPr>
            <w:tcW w:w="5273" w:type="dxa"/>
            <w:gridSpan w:val="2"/>
            <w:vAlign w:val="center"/>
          </w:tcPr>
          <w:p w14:paraId="2431D7A1">
            <w:pPr>
              <w:spacing w:line="400" w:lineRule="exact"/>
              <w:ind w:firstLine="0" w:firstLineChars="0"/>
              <w:jc w:val="center"/>
              <w:rPr>
                <w:rFonts w:ascii="Times New Roman" w:hAnsi="Times New Roman" w:eastAsia="仿宋"/>
                <w:b/>
                <w:color w:val="auto"/>
                <w:szCs w:val="28"/>
                <w:highlight w:val="none"/>
              </w:rPr>
            </w:pPr>
            <w:r>
              <w:rPr>
                <w:rFonts w:ascii="Times New Roman" w:hAnsi="Times New Roman" w:eastAsia="仿宋"/>
                <w:b/>
                <w:color w:val="auto"/>
                <w:szCs w:val="28"/>
                <w:highlight w:val="none"/>
              </w:rPr>
              <w:t>检查因素</w:t>
            </w:r>
          </w:p>
        </w:tc>
        <w:tc>
          <w:tcPr>
            <w:tcW w:w="3118" w:type="dxa"/>
            <w:vAlign w:val="center"/>
          </w:tcPr>
          <w:p w14:paraId="272A12C8">
            <w:pPr>
              <w:spacing w:line="400" w:lineRule="exact"/>
              <w:ind w:firstLine="0" w:firstLineChars="0"/>
              <w:jc w:val="center"/>
              <w:rPr>
                <w:rFonts w:ascii="Times New Roman" w:hAnsi="Times New Roman" w:eastAsia="仿宋"/>
                <w:b/>
                <w:color w:val="auto"/>
                <w:szCs w:val="28"/>
                <w:highlight w:val="none"/>
              </w:rPr>
            </w:pPr>
            <w:r>
              <w:rPr>
                <w:rFonts w:ascii="Times New Roman" w:hAnsi="Times New Roman" w:eastAsia="仿宋"/>
                <w:b/>
                <w:color w:val="auto"/>
                <w:szCs w:val="28"/>
                <w:highlight w:val="none"/>
              </w:rPr>
              <w:t>检查内容</w:t>
            </w:r>
          </w:p>
        </w:tc>
      </w:tr>
      <w:tr w14:paraId="32E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84" w:type="dxa"/>
            <w:vMerge w:val="restart"/>
            <w:vAlign w:val="center"/>
          </w:tcPr>
          <w:p w14:paraId="0FF03F8C">
            <w:pPr>
              <w:spacing w:line="40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p>
        </w:tc>
        <w:tc>
          <w:tcPr>
            <w:tcW w:w="879" w:type="dxa"/>
            <w:vMerge w:val="restart"/>
            <w:vAlign w:val="center"/>
          </w:tcPr>
          <w:p w14:paraId="0EC29F5A">
            <w:pPr>
              <w:spacing w:line="4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供应商应符合的基本资格条件</w:t>
            </w:r>
          </w:p>
        </w:tc>
        <w:tc>
          <w:tcPr>
            <w:tcW w:w="4394" w:type="dxa"/>
            <w:vAlign w:val="center"/>
          </w:tcPr>
          <w:p w14:paraId="5B67E9BB">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（1）具有独立承担民事责任的能力</w:t>
            </w:r>
          </w:p>
        </w:tc>
        <w:tc>
          <w:tcPr>
            <w:tcW w:w="3118" w:type="dxa"/>
            <w:vAlign w:val="center"/>
          </w:tcPr>
          <w:p w14:paraId="3C7E80F4">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r>
              <w:rPr>
                <w:rFonts w:ascii="Times New Roman" w:hAnsi="Times New Roman" w:eastAsia="仿宋"/>
                <w:color w:val="auto"/>
                <w:highlight w:val="none"/>
              </w:rPr>
              <w:t xml:space="preserve"> </w:t>
            </w:r>
            <w:r>
              <w:rPr>
                <w:rFonts w:ascii="Times New Roman" w:hAnsi="Times New Roman" w:eastAsia="仿宋"/>
                <w:color w:val="auto"/>
                <w:sz w:val="21"/>
                <w:szCs w:val="21"/>
                <w:highlight w:val="none"/>
              </w:rPr>
              <w:t>提供法人或者其他组织的营业执照，自然人的身份证明；</w:t>
            </w:r>
          </w:p>
          <w:p w14:paraId="5C25D832">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2.供应商法定代表人身份证明（如为授权人，另需有法人授权委托书、被授权人的身份证明）。</w:t>
            </w:r>
          </w:p>
        </w:tc>
      </w:tr>
      <w:tr w14:paraId="002A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4" w:type="dxa"/>
            <w:vMerge w:val="continue"/>
            <w:vAlign w:val="center"/>
          </w:tcPr>
          <w:p w14:paraId="6B5E8920">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24BF7688">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6032F414">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（2）具有良好的商业信誉和健全的财务会计制度</w:t>
            </w:r>
          </w:p>
        </w:tc>
        <w:tc>
          <w:tcPr>
            <w:tcW w:w="3118" w:type="dxa"/>
            <w:vMerge w:val="restart"/>
            <w:vAlign w:val="center"/>
          </w:tcPr>
          <w:p w14:paraId="1DCA97B5">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b/>
                <w:color w:val="auto"/>
                <w:sz w:val="21"/>
                <w:szCs w:val="21"/>
                <w:highlight w:val="none"/>
              </w:rPr>
              <w:t>参选人提供“基本资格条件承诺函”（格式详见第七篇）</w:t>
            </w:r>
          </w:p>
        </w:tc>
      </w:tr>
      <w:tr w14:paraId="6EA1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84" w:type="dxa"/>
            <w:vMerge w:val="continue"/>
            <w:vAlign w:val="center"/>
          </w:tcPr>
          <w:p w14:paraId="01F78D43">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10F2FD1D">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54E5051C">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（3）具有履行合同所必需的设备和专业技术能力</w:t>
            </w:r>
          </w:p>
        </w:tc>
        <w:tc>
          <w:tcPr>
            <w:tcW w:w="3118" w:type="dxa"/>
            <w:vMerge w:val="continue"/>
            <w:vAlign w:val="center"/>
          </w:tcPr>
          <w:p w14:paraId="7101D6FA">
            <w:pPr>
              <w:spacing w:line="360" w:lineRule="exact"/>
              <w:ind w:firstLine="0" w:firstLineChars="0"/>
              <w:rPr>
                <w:rFonts w:ascii="Times New Roman" w:hAnsi="Times New Roman" w:eastAsia="仿宋"/>
                <w:color w:val="auto"/>
                <w:sz w:val="21"/>
                <w:szCs w:val="21"/>
                <w:highlight w:val="none"/>
              </w:rPr>
            </w:pPr>
          </w:p>
        </w:tc>
      </w:tr>
      <w:tr w14:paraId="629C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4" w:type="dxa"/>
            <w:vMerge w:val="continue"/>
            <w:vAlign w:val="center"/>
          </w:tcPr>
          <w:p w14:paraId="37906EF8">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3AFDE15B">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38BB41EA">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（4）有依法缴纳税收或社会保障金的良好记录</w:t>
            </w:r>
          </w:p>
        </w:tc>
        <w:tc>
          <w:tcPr>
            <w:tcW w:w="3118" w:type="dxa"/>
            <w:vMerge w:val="continue"/>
            <w:vAlign w:val="center"/>
          </w:tcPr>
          <w:p w14:paraId="02DC9065">
            <w:pPr>
              <w:spacing w:line="360" w:lineRule="exact"/>
              <w:ind w:firstLine="0" w:firstLineChars="0"/>
              <w:rPr>
                <w:rFonts w:ascii="Times New Roman" w:hAnsi="Times New Roman" w:eastAsia="仿宋"/>
                <w:color w:val="auto"/>
                <w:sz w:val="21"/>
                <w:szCs w:val="21"/>
                <w:highlight w:val="none"/>
              </w:rPr>
            </w:pPr>
          </w:p>
        </w:tc>
      </w:tr>
      <w:tr w14:paraId="653B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84" w:type="dxa"/>
            <w:vMerge w:val="continue"/>
            <w:vAlign w:val="center"/>
          </w:tcPr>
          <w:p w14:paraId="188892CB">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4A7438F5">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67B9E638">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（5）参加本次比选前三年内，在经营活动中没有重大违法记录（注）。</w:t>
            </w:r>
          </w:p>
        </w:tc>
        <w:tc>
          <w:tcPr>
            <w:tcW w:w="3118" w:type="dxa"/>
            <w:vMerge w:val="continue"/>
            <w:vAlign w:val="center"/>
          </w:tcPr>
          <w:p w14:paraId="61C1DCAA">
            <w:pPr>
              <w:spacing w:line="360" w:lineRule="exact"/>
              <w:ind w:firstLine="0" w:firstLineChars="0"/>
              <w:rPr>
                <w:rFonts w:ascii="Times New Roman" w:hAnsi="Times New Roman" w:eastAsia="仿宋"/>
                <w:b/>
                <w:color w:val="auto"/>
                <w:sz w:val="21"/>
                <w:szCs w:val="21"/>
                <w:highlight w:val="none"/>
              </w:rPr>
            </w:pPr>
          </w:p>
        </w:tc>
      </w:tr>
      <w:tr w14:paraId="3B17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84" w:type="dxa"/>
            <w:vMerge w:val="continue"/>
            <w:vAlign w:val="center"/>
          </w:tcPr>
          <w:p w14:paraId="315090B9">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7ACCDD20">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204BFF40">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（6）参选人股东非华龙网员工及配偶、员工子女及其配偶。</w:t>
            </w:r>
          </w:p>
        </w:tc>
        <w:tc>
          <w:tcPr>
            <w:tcW w:w="3118" w:type="dxa"/>
            <w:vMerge w:val="restart"/>
            <w:vAlign w:val="center"/>
          </w:tcPr>
          <w:p w14:paraId="1E8C0003">
            <w:pPr>
              <w:spacing w:line="300" w:lineRule="exact"/>
              <w:ind w:firstLine="0" w:firstLineChars="0"/>
              <w:rPr>
                <w:rFonts w:ascii="Times New Roman" w:hAnsi="Times New Roman" w:eastAsia="仿宋"/>
                <w:b/>
                <w:color w:val="auto"/>
                <w:sz w:val="21"/>
                <w:szCs w:val="21"/>
                <w:highlight w:val="none"/>
              </w:rPr>
            </w:pPr>
            <w:r>
              <w:rPr>
                <w:rFonts w:hint="eastAsia" w:ascii="Times New Roman" w:hAnsi="Times New Roman" w:eastAsia="仿宋"/>
                <w:b/>
                <w:color w:val="auto"/>
                <w:sz w:val="21"/>
                <w:szCs w:val="21"/>
                <w:highlight w:val="none"/>
              </w:rPr>
              <w:t>参选人提供承诺书加盖单位公章；（第七篇响应文件格式中“承诺书”）</w:t>
            </w:r>
          </w:p>
          <w:p w14:paraId="7BE92AAF">
            <w:pPr>
              <w:spacing w:line="360" w:lineRule="exact"/>
              <w:ind w:firstLine="0" w:firstLineChars="0"/>
              <w:rPr>
                <w:rFonts w:ascii="Times New Roman" w:hAnsi="Times New Roman" w:eastAsia="仿宋"/>
                <w:b/>
                <w:color w:val="auto"/>
                <w:sz w:val="21"/>
                <w:szCs w:val="21"/>
                <w:highlight w:val="none"/>
              </w:rPr>
            </w:pPr>
          </w:p>
        </w:tc>
      </w:tr>
      <w:tr w14:paraId="4258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84" w:type="dxa"/>
            <w:vMerge w:val="continue"/>
            <w:vAlign w:val="center"/>
          </w:tcPr>
          <w:p w14:paraId="0DACA1C9">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32C75F75">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25A5D144">
            <w:pPr>
              <w:spacing w:line="3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（7）单位负责人为同一人或者存在直接控股、管理关系的不同比选方，不得参加同一合同项（分包）下的比选活动，否则均为无效。</w:t>
            </w:r>
          </w:p>
        </w:tc>
        <w:tc>
          <w:tcPr>
            <w:tcW w:w="3118" w:type="dxa"/>
            <w:vMerge w:val="continue"/>
            <w:vAlign w:val="center"/>
          </w:tcPr>
          <w:p w14:paraId="6559D54C">
            <w:pPr>
              <w:spacing w:line="360" w:lineRule="exact"/>
              <w:ind w:firstLine="0" w:firstLineChars="0"/>
              <w:rPr>
                <w:rFonts w:ascii="Times New Roman" w:hAnsi="Times New Roman" w:eastAsia="仿宋"/>
                <w:b/>
                <w:color w:val="auto"/>
                <w:sz w:val="21"/>
                <w:szCs w:val="21"/>
                <w:highlight w:val="none"/>
              </w:rPr>
            </w:pPr>
          </w:p>
        </w:tc>
      </w:tr>
      <w:tr w14:paraId="51E9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84" w:type="dxa"/>
            <w:vMerge w:val="continue"/>
            <w:vAlign w:val="center"/>
          </w:tcPr>
          <w:p w14:paraId="613B7FFA">
            <w:pPr>
              <w:spacing w:line="400" w:lineRule="exact"/>
              <w:ind w:firstLine="0" w:firstLineChars="0"/>
              <w:jc w:val="center"/>
              <w:rPr>
                <w:rFonts w:ascii="Times New Roman" w:hAnsi="Times New Roman" w:eastAsia="仿宋"/>
                <w:color w:val="auto"/>
                <w:szCs w:val="28"/>
                <w:highlight w:val="none"/>
              </w:rPr>
            </w:pPr>
          </w:p>
        </w:tc>
        <w:tc>
          <w:tcPr>
            <w:tcW w:w="879" w:type="dxa"/>
            <w:vMerge w:val="continue"/>
            <w:vAlign w:val="center"/>
          </w:tcPr>
          <w:p w14:paraId="42A97CA7">
            <w:pPr>
              <w:spacing w:line="400" w:lineRule="exact"/>
              <w:ind w:firstLine="0" w:firstLineChars="0"/>
              <w:rPr>
                <w:rFonts w:ascii="Times New Roman" w:hAnsi="Times New Roman" w:eastAsia="仿宋"/>
                <w:color w:val="auto"/>
                <w:szCs w:val="28"/>
                <w:highlight w:val="none"/>
              </w:rPr>
            </w:pPr>
          </w:p>
        </w:tc>
        <w:tc>
          <w:tcPr>
            <w:tcW w:w="4394" w:type="dxa"/>
            <w:vAlign w:val="center"/>
          </w:tcPr>
          <w:p w14:paraId="7B1FDC8B">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（8）诚信声明</w:t>
            </w:r>
          </w:p>
        </w:tc>
        <w:tc>
          <w:tcPr>
            <w:tcW w:w="3118" w:type="dxa"/>
            <w:vAlign w:val="center"/>
          </w:tcPr>
          <w:p w14:paraId="105CC473">
            <w:pPr>
              <w:spacing w:line="360" w:lineRule="exact"/>
              <w:ind w:firstLine="0" w:firstLineChars="0"/>
              <w:rPr>
                <w:rFonts w:ascii="Times New Roman" w:hAnsi="Times New Roman" w:eastAsia="仿宋"/>
                <w:b/>
                <w:color w:val="auto"/>
                <w:sz w:val="21"/>
                <w:szCs w:val="21"/>
                <w:highlight w:val="none"/>
              </w:rPr>
            </w:pPr>
            <w:r>
              <w:rPr>
                <w:rFonts w:ascii="Times New Roman" w:hAnsi="Times New Roman" w:eastAsia="仿宋"/>
                <w:b/>
                <w:color w:val="auto"/>
                <w:sz w:val="21"/>
                <w:szCs w:val="21"/>
                <w:highlight w:val="none"/>
              </w:rPr>
              <w:t>“诚信声明”（格式详见第七篇）</w:t>
            </w:r>
          </w:p>
        </w:tc>
      </w:tr>
    </w:tbl>
    <w:p w14:paraId="773C8ED1">
      <w:pPr>
        <w:snapToGrid w:val="0"/>
        <w:ind w:firstLine="560"/>
        <w:rPr>
          <w:rFonts w:ascii="Times New Roman" w:hAnsi="Times New Roman"/>
          <w:color w:val="auto"/>
          <w:highlight w:val="none"/>
        </w:rPr>
      </w:pPr>
      <w:r>
        <w:rPr>
          <w:rFonts w:ascii="Times New Roman" w:hAnsi="Times New Roman"/>
          <w:color w:val="auto"/>
          <w:highlight w:val="none"/>
        </w:rPr>
        <w:t>2.符合性审查。</w:t>
      </w:r>
    </w:p>
    <w:p w14:paraId="693FEB1F">
      <w:pPr>
        <w:snapToGrid w:val="0"/>
        <w:ind w:firstLine="560"/>
        <w:rPr>
          <w:rFonts w:ascii="Times New Roman" w:hAnsi="Times New Roman"/>
          <w:color w:val="auto"/>
          <w:highlight w:val="none"/>
        </w:rPr>
      </w:pPr>
      <w:r>
        <w:rPr>
          <w:rFonts w:ascii="Times New Roman" w:hAnsi="Times New Roman"/>
          <w:color w:val="auto"/>
          <w:highlight w:val="none"/>
        </w:rPr>
        <w:t>评选小组应当对符合资格的供应商的参选文件进行符合性审查，以确定其是否满足比选文件的实质性要求。符合性审查资料表如下：</w:t>
      </w:r>
    </w:p>
    <w:tbl>
      <w:tblPr>
        <w:tblStyle w:val="17"/>
        <w:tblpPr w:leftFromText="180" w:rightFromText="180" w:vertAnchor="text" w:horzAnchor="margin" w:tblpXSpec="center"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2397"/>
        <w:gridCol w:w="4544"/>
      </w:tblGrid>
      <w:tr w14:paraId="7CF4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46" w:type="dxa"/>
            <w:vAlign w:val="center"/>
          </w:tcPr>
          <w:p w14:paraId="542C0690">
            <w:pPr>
              <w:spacing w:line="360" w:lineRule="exact"/>
              <w:ind w:firstLine="0" w:firstLineChars="0"/>
              <w:jc w:val="center"/>
              <w:rPr>
                <w:rFonts w:ascii="Times New Roman" w:hAnsi="Times New Roman" w:eastAsia="仿宋"/>
                <w:b/>
                <w:color w:val="auto"/>
                <w:szCs w:val="28"/>
                <w:highlight w:val="none"/>
              </w:rPr>
            </w:pPr>
            <w:r>
              <w:rPr>
                <w:rFonts w:ascii="Times New Roman" w:hAnsi="Times New Roman" w:eastAsia="仿宋"/>
                <w:b/>
                <w:color w:val="auto"/>
                <w:szCs w:val="28"/>
                <w:highlight w:val="none"/>
              </w:rPr>
              <w:t>序号</w:t>
            </w:r>
          </w:p>
        </w:tc>
        <w:tc>
          <w:tcPr>
            <w:tcW w:w="3595" w:type="dxa"/>
            <w:gridSpan w:val="2"/>
            <w:vAlign w:val="center"/>
          </w:tcPr>
          <w:p w14:paraId="38049748">
            <w:pPr>
              <w:spacing w:line="360" w:lineRule="exact"/>
              <w:ind w:firstLine="0" w:firstLineChars="0"/>
              <w:jc w:val="center"/>
              <w:rPr>
                <w:rFonts w:ascii="Times New Roman" w:hAnsi="Times New Roman" w:eastAsia="仿宋"/>
                <w:b/>
                <w:color w:val="auto"/>
                <w:szCs w:val="28"/>
                <w:highlight w:val="none"/>
              </w:rPr>
            </w:pPr>
            <w:r>
              <w:rPr>
                <w:rFonts w:ascii="Times New Roman" w:hAnsi="Times New Roman" w:eastAsia="仿宋"/>
                <w:b/>
                <w:color w:val="auto"/>
                <w:szCs w:val="28"/>
                <w:highlight w:val="none"/>
              </w:rPr>
              <w:t>评审因素</w:t>
            </w:r>
          </w:p>
        </w:tc>
        <w:tc>
          <w:tcPr>
            <w:tcW w:w="4544" w:type="dxa"/>
            <w:vAlign w:val="center"/>
          </w:tcPr>
          <w:p w14:paraId="232C7E40">
            <w:pPr>
              <w:spacing w:line="360" w:lineRule="exact"/>
              <w:ind w:firstLine="0" w:firstLineChars="0"/>
              <w:jc w:val="center"/>
              <w:rPr>
                <w:rFonts w:ascii="Times New Roman" w:hAnsi="Times New Roman" w:eastAsia="仿宋"/>
                <w:b/>
                <w:color w:val="auto"/>
                <w:szCs w:val="28"/>
                <w:highlight w:val="none"/>
              </w:rPr>
            </w:pPr>
            <w:r>
              <w:rPr>
                <w:rFonts w:ascii="Times New Roman" w:hAnsi="Times New Roman" w:eastAsia="仿宋"/>
                <w:b/>
                <w:color w:val="auto"/>
                <w:szCs w:val="28"/>
                <w:highlight w:val="none"/>
              </w:rPr>
              <w:t>评审标准</w:t>
            </w:r>
          </w:p>
        </w:tc>
      </w:tr>
      <w:tr w14:paraId="664B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46" w:type="dxa"/>
            <w:vMerge w:val="restart"/>
            <w:vAlign w:val="center"/>
          </w:tcPr>
          <w:p w14:paraId="3A07632F">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1</w:t>
            </w:r>
          </w:p>
        </w:tc>
        <w:tc>
          <w:tcPr>
            <w:tcW w:w="1198" w:type="dxa"/>
            <w:vMerge w:val="restart"/>
            <w:vAlign w:val="center"/>
          </w:tcPr>
          <w:p w14:paraId="4874CCA1">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有效性</w:t>
            </w:r>
          </w:p>
          <w:p w14:paraId="43DB0C10">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审查</w:t>
            </w:r>
          </w:p>
        </w:tc>
        <w:tc>
          <w:tcPr>
            <w:tcW w:w="2397" w:type="dxa"/>
            <w:vAlign w:val="center"/>
          </w:tcPr>
          <w:p w14:paraId="456A97E8">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参选文件签署或盖章</w:t>
            </w:r>
          </w:p>
        </w:tc>
        <w:tc>
          <w:tcPr>
            <w:tcW w:w="4544" w:type="dxa"/>
            <w:vAlign w:val="center"/>
          </w:tcPr>
          <w:p w14:paraId="25526DCF">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参选文件上法定代表人（或其授权代表）或自然人（参选人为自然人）的签署或盖章齐全。</w:t>
            </w:r>
          </w:p>
        </w:tc>
      </w:tr>
      <w:tr w14:paraId="496E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6" w:type="dxa"/>
            <w:vMerge w:val="continue"/>
            <w:vAlign w:val="center"/>
          </w:tcPr>
          <w:p w14:paraId="749A13B8">
            <w:pPr>
              <w:spacing w:line="360" w:lineRule="exact"/>
              <w:ind w:firstLine="0" w:firstLineChars="0"/>
              <w:jc w:val="center"/>
              <w:rPr>
                <w:rFonts w:ascii="Times New Roman" w:hAnsi="Times New Roman" w:eastAsia="仿宋"/>
                <w:color w:val="auto"/>
                <w:sz w:val="21"/>
                <w:szCs w:val="21"/>
                <w:highlight w:val="none"/>
              </w:rPr>
            </w:pPr>
          </w:p>
        </w:tc>
        <w:tc>
          <w:tcPr>
            <w:tcW w:w="1198" w:type="dxa"/>
            <w:vMerge w:val="continue"/>
            <w:vAlign w:val="center"/>
          </w:tcPr>
          <w:p w14:paraId="55F38296">
            <w:pPr>
              <w:spacing w:line="360" w:lineRule="exact"/>
              <w:ind w:firstLine="0" w:firstLineChars="0"/>
              <w:rPr>
                <w:rFonts w:ascii="Times New Roman" w:hAnsi="Times New Roman" w:eastAsia="仿宋"/>
                <w:color w:val="auto"/>
                <w:sz w:val="21"/>
                <w:szCs w:val="21"/>
                <w:highlight w:val="none"/>
              </w:rPr>
            </w:pPr>
          </w:p>
        </w:tc>
        <w:tc>
          <w:tcPr>
            <w:tcW w:w="2397" w:type="dxa"/>
            <w:vAlign w:val="center"/>
          </w:tcPr>
          <w:p w14:paraId="79E5A15C">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参选方案</w:t>
            </w:r>
          </w:p>
        </w:tc>
        <w:tc>
          <w:tcPr>
            <w:tcW w:w="4544" w:type="dxa"/>
            <w:vAlign w:val="center"/>
          </w:tcPr>
          <w:p w14:paraId="796C43B3">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只能有一个方案参与比选。</w:t>
            </w:r>
          </w:p>
        </w:tc>
      </w:tr>
      <w:tr w14:paraId="785F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46" w:type="dxa"/>
            <w:vMerge w:val="continue"/>
            <w:vAlign w:val="center"/>
          </w:tcPr>
          <w:p w14:paraId="20A1FED7">
            <w:pPr>
              <w:spacing w:line="360" w:lineRule="exact"/>
              <w:ind w:firstLine="0" w:firstLineChars="0"/>
              <w:jc w:val="center"/>
              <w:rPr>
                <w:rFonts w:ascii="Times New Roman" w:hAnsi="Times New Roman" w:eastAsia="仿宋"/>
                <w:color w:val="auto"/>
                <w:sz w:val="21"/>
                <w:szCs w:val="21"/>
                <w:highlight w:val="none"/>
              </w:rPr>
            </w:pPr>
          </w:p>
        </w:tc>
        <w:tc>
          <w:tcPr>
            <w:tcW w:w="1198" w:type="dxa"/>
            <w:vMerge w:val="continue"/>
            <w:vAlign w:val="center"/>
          </w:tcPr>
          <w:p w14:paraId="01BA44B1">
            <w:pPr>
              <w:spacing w:line="360" w:lineRule="exact"/>
              <w:ind w:firstLine="0" w:firstLineChars="0"/>
              <w:rPr>
                <w:rFonts w:ascii="Times New Roman" w:hAnsi="Times New Roman" w:eastAsia="仿宋"/>
                <w:color w:val="auto"/>
                <w:sz w:val="21"/>
                <w:szCs w:val="21"/>
                <w:highlight w:val="none"/>
              </w:rPr>
            </w:pPr>
          </w:p>
        </w:tc>
        <w:tc>
          <w:tcPr>
            <w:tcW w:w="2397" w:type="dxa"/>
            <w:vAlign w:val="center"/>
          </w:tcPr>
          <w:p w14:paraId="61E9F1D2">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报价唯一</w:t>
            </w:r>
          </w:p>
        </w:tc>
        <w:tc>
          <w:tcPr>
            <w:tcW w:w="4544" w:type="dxa"/>
            <w:vAlign w:val="center"/>
          </w:tcPr>
          <w:p w14:paraId="66EEF5FB">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lang w:val="zh-CN"/>
              </w:rPr>
              <w:t>只能在预算金额和最高限价内报价，</w:t>
            </w:r>
            <w:r>
              <w:rPr>
                <w:rFonts w:ascii="Times New Roman" w:hAnsi="Times New Roman" w:eastAsia="仿宋"/>
                <w:color w:val="auto"/>
                <w:sz w:val="21"/>
                <w:szCs w:val="21"/>
                <w:highlight w:val="none"/>
              </w:rPr>
              <w:t>只能有一个有效报价，不得提交选择性报价。</w:t>
            </w:r>
          </w:p>
        </w:tc>
      </w:tr>
      <w:tr w14:paraId="6A13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exact"/>
        </w:trPr>
        <w:tc>
          <w:tcPr>
            <w:tcW w:w="846" w:type="dxa"/>
            <w:vAlign w:val="center"/>
          </w:tcPr>
          <w:p w14:paraId="0612BBBD">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2</w:t>
            </w:r>
          </w:p>
        </w:tc>
        <w:tc>
          <w:tcPr>
            <w:tcW w:w="1198" w:type="dxa"/>
            <w:vAlign w:val="center"/>
          </w:tcPr>
          <w:p w14:paraId="17B8E99A">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完整性</w:t>
            </w:r>
          </w:p>
          <w:p w14:paraId="2BE6654E">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审查</w:t>
            </w:r>
          </w:p>
        </w:tc>
        <w:tc>
          <w:tcPr>
            <w:tcW w:w="2397" w:type="dxa"/>
            <w:vAlign w:val="center"/>
          </w:tcPr>
          <w:p w14:paraId="40C92931">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参选文件份数</w:t>
            </w:r>
          </w:p>
        </w:tc>
        <w:tc>
          <w:tcPr>
            <w:tcW w:w="4544" w:type="dxa"/>
            <w:vAlign w:val="center"/>
          </w:tcPr>
          <w:p w14:paraId="003E1E10">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参选文件正、副本数量符合比选文件要求。</w:t>
            </w:r>
          </w:p>
        </w:tc>
      </w:tr>
      <w:tr w14:paraId="7A42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46" w:type="dxa"/>
            <w:vMerge w:val="restart"/>
            <w:vAlign w:val="center"/>
          </w:tcPr>
          <w:p w14:paraId="1AE25AD2">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3</w:t>
            </w:r>
          </w:p>
        </w:tc>
        <w:tc>
          <w:tcPr>
            <w:tcW w:w="1198" w:type="dxa"/>
            <w:vMerge w:val="restart"/>
            <w:vAlign w:val="center"/>
          </w:tcPr>
          <w:p w14:paraId="78C2DF43">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响应程度</w:t>
            </w:r>
          </w:p>
          <w:p w14:paraId="66FBF749">
            <w:pPr>
              <w:spacing w:line="36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审查</w:t>
            </w:r>
          </w:p>
        </w:tc>
        <w:tc>
          <w:tcPr>
            <w:tcW w:w="2397" w:type="dxa"/>
            <w:vAlign w:val="center"/>
          </w:tcPr>
          <w:p w14:paraId="6B4AA5BA">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参选文件服务部分内容</w:t>
            </w:r>
          </w:p>
        </w:tc>
        <w:tc>
          <w:tcPr>
            <w:tcW w:w="4544" w:type="dxa"/>
            <w:vAlign w:val="center"/>
          </w:tcPr>
          <w:p w14:paraId="29C4B43A">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对本比选文件第二篇内容作出实质性响应</w:t>
            </w:r>
          </w:p>
        </w:tc>
      </w:tr>
      <w:tr w14:paraId="4053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846" w:type="dxa"/>
            <w:vMerge w:val="continue"/>
            <w:vAlign w:val="center"/>
          </w:tcPr>
          <w:p w14:paraId="7272CDBB">
            <w:pPr>
              <w:spacing w:line="360" w:lineRule="exact"/>
              <w:ind w:firstLine="0" w:firstLineChars="0"/>
              <w:jc w:val="center"/>
              <w:rPr>
                <w:rFonts w:ascii="Times New Roman" w:hAnsi="Times New Roman" w:eastAsia="仿宋"/>
                <w:color w:val="auto"/>
                <w:sz w:val="21"/>
                <w:szCs w:val="21"/>
                <w:highlight w:val="none"/>
              </w:rPr>
            </w:pPr>
          </w:p>
        </w:tc>
        <w:tc>
          <w:tcPr>
            <w:tcW w:w="1198" w:type="dxa"/>
            <w:vMerge w:val="continue"/>
            <w:vAlign w:val="center"/>
          </w:tcPr>
          <w:p w14:paraId="394B7625">
            <w:pPr>
              <w:spacing w:line="360" w:lineRule="exact"/>
              <w:ind w:firstLine="0" w:firstLineChars="0"/>
              <w:rPr>
                <w:rFonts w:ascii="Times New Roman" w:hAnsi="Times New Roman" w:eastAsia="仿宋"/>
                <w:color w:val="auto"/>
                <w:sz w:val="21"/>
                <w:szCs w:val="21"/>
                <w:highlight w:val="none"/>
              </w:rPr>
            </w:pPr>
          </w:p>
        </w:tc>
        <w:tc>
          <w:tcPr>
            <w:tcW w:w="2397" w:type="dxa"/>
            <w:vAlign w:val="center"/>
          </w:tcPr>
          <w:p w14:paraId="1F0042FC">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参选文件商务部分内容</w:t>
            </w:r>
          </w:p>
        </w:tc>
        <w:tc>
          <w:tcPr>
            <w:tcW w:w="4544" w:type="dxa"/>
            <w:vAlign w:val="center"/>
          </w:tcPr>
          <w:p w14:paraId="68167358">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对本比选文件第三篇内容作出实质性响应</w:t>
            </w:r>
          </w:p>
        </w:tc>
      </w:tr>
      <w:tr w14:paraId="67C0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846" w:type="dxa"/>
            <w:vMerge w:val="continue"/>
            <w:vAlign w:val="center"/>
          </w:tcPr>
          <w:p w14:paraId="6CE58B31">
            <w:pPr>
              <w:ind w:firstLine="640"/>
              <w:jc w:val="center"/>
              <w:rPr>
                <w:rFonts w:ascii="Times New Roman" w:hAnsi="Times New Roman" w:eastAsia="仿宋"/>
                <w:color w:val="auto"/>
                <w:sz w:val="32"/>
                <w:szCs w:val="32"/>
                <w:highlight w:val="none"/>
              </w:rPr>
            </w:pPr>
          </w:p>
        </w:tc>
        <w:tc>
          <w:tcPr>
            <w:tcW w:w="1198" w:type="dxa"/>
            <w:vMerge w:val="continue"/>
            <w:vAlign w:val="center"/>
          </w:tcPr>
          <w:p w14:paraId="3D19D701">
            <w:pPr>
              <w:spacing w:line="360" w:lineRule="exact"/>
              <w:ind w:firstLine="640"/>
              <w:rPr>
                <w:rFonts w:ascii="Times New Roman" w:hAnsi="Times New Roman" w:eastAsia="仿宋"/>
                <w:color w:val="auto"/>
                <w:sz w:val="32"/>
                <w:szCs w:val="32"/>
                <w:highlight w:val="none"/>
              </w:rPr>
            </w:pPr>
          </w:p>
        </w:tc>
        <w:tc>
          <w:tcPr>
            <w:tcW w:w="2397" w:type="dxa"/>
            <w:vAlign w:val="center"/>
          </w:tcPr>
          <w:p w14:paraId="235A131D">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比选有效期</w:t>
            </w:r>
          </w:p>
        </w:tc>
        <w:tc>
          <w:tcPr>
            <w:tcW w:w="4544" w:type="dxa"/>
            <w:vAlign w:val="center"/>
          </w:tcPr>
          <w:p w14:paraId="519BF987">
            <w:pPr>
              <w:spacing w:line="36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提交参选文件截止时间起90天。</w:t>
            </w:r>
          </w:p>
        </w:tc>
      </w:tr>
    </w:tbl>
    <w:p w14:paraId="63DA8DB7">
      <w:pPr>
        <w:snapToGrid w:val="0"/>
        <w:ind w:firstLine="560"/>
        <w:rPr>
          <w:rFonts w:ascii="Times New Roman" w:hAnsi="Times New Roman"/>
          <w:color w:val="auto"/>
          <w:highlight w:val="none"/>
        </w:rPr>
      </w:pPr>
      <w:r>
        <w:rPr>
          <w:rFonts w:ascii="Times New Roman" w:hAnsi="Times New Roman"/>
          <w:color w:val="auto"/>
          <w:highlight w:val="none"/>
        </w:rPr>
        <w:t>（三）澄清有关问题。评选小组在对参选文件的有效性、完整性和响</w:t>
      </w:r>
      <w:r>
        <w:rPr>
          <w:rFonts w:ascii="Times New Roman" w:hAnsi="Times New Roman"/>
          <w:color w:val="auto"/>
          <w:highlight w:val="none"/>
        </w:rPr>
        <w:tab/>
      </w:r>
      <w:r>
        <w:rPr>
          <w:rFonts w:ascii="Times New Roman" w:hAnsi="Times New Roman"/>
          <w:color w:val="auto"/>
          <w:highlight w:val="none"/>
        </w:rPr>
        <w:t>应程度进行审查时，可以要求供应商对参选文件中含义不明确、同类问题表述不一致或者有明显文字和计算错误的内容等作出必要的澄清、说明或者更正。供应商的澄清、说明或者更正不得超出参选文件的范围或者改变参选文件的实质性内容。</w:t>
      </w:r>
    </w:p>
    <w:p w14:paraId="527B944C">
      <w:pPr>
        <w:snapToGrid w:val="0"/>
        <w:ind w:firstLine="560"/>
        <w:rPr>
          <w:rFonts w:ascii="Times New Roman" w:hAnsi="Times New Roman"/>
          <w:color w:val="auto"/>
          <w:highlight w:val="none"/>
        </w:rPr>
      </w:pPr>
      <w:r>
        <w:rPr>
          <w:rFonts w:ascii="Times New Roman" w:hAnsi="Times New Roman"/>
          <w:color w:val="auto"/>
          <w:highlight w:val="none"/>
        </w:rPr>
        <w:t>（四）评选小组要求供应商澄清、说明或者更正参选文件应当以书面形式作出。供应商的澄清、说明或者更正应当由法定代表人或其授权代表签字或者加盖公章。由授权代表签字的，应当附法定代表人授权书。</w:t>
      </w:r>
    </w:p>
    <w:p w14:paraId="69F51A3F">
      <w:pPr>
        <w:snapToGrid w:val="0"/>
        <w:ind w:firstLine="560"/>
        <w:rPr>
          <w:rFonts w:ascii="Times New Roman" w:hAnsi="Times New Roman"/>
          <w:color w:val="auto"/>
          <w:highlight w:val="none"/>
        </w:rPr>
      </w:pPr>
      <w:r>
        <w:rPr>
          <w:rFonts w:ascii="Times New Roman" w:hAnsi="Times New Roman"/>
          <w:color w:val="auto"/>
          <w:highlight w:val="none"/>
        </w:rPr>
        <w:t>（五）在比选过程中比选的任何一方不得向他人透露与比选有关的技术资料、价格或其他信息。</w:t>
      </w:r>
    </w:p>
    <w:p w14:paraId="7AFCDFA4">
      <w:pPr>
        <w:snapToGrid w:val="0"/>
        <w:ind w:firstLine="560"/>
        <w:rPr>
          <w:rFonts w:ascii="Times New Roman" w:hAnsi="Times New Roman"/>
          <w:color w:val="auto"/>
          <w:highlight w:val="none"/>
        </w:rPr>
      </w:pPr>
      <w:r>
        <w:rPr>
          <w:rFonts w:ascii="Times New Roman" w:hAnsi="Times New Roman"/>
          <w:color w:val="auto"/>
          <w:highlight w:val="none"/>
        </w:rPr>
        <w:t>（六）供应商在比选时作出的所有书面承诺须由法定代表人或其授权代表签字。</w:t>
      </w:r>
    </w:p>
    <w:p w14:paraId="521C80FA">
      <w:pPr>
        <w:snapToGrid w:val="0"/>
        <w:ind w:firstLine="560"/>
        <w:rPr>
          <w:rFonts w:ascii="Times New Roman" w:hAnsi="Times New Roman"/>
          <w:color w:val="auto"/>
          <w:highlight w:val="none"/>
        </w:rPr>
      </w:pPr>
      <w:r>
        <w:rPr>
          <w:rFonts w:ascii="Times New Roman" w:hAnsi="Times New Roman"/>
          <w:color w:val="auto"/>
          <w:highlight w:val="none"/>
        </w:rPr>
        <w:t>（七）评选小组采用综合评分法对供应商的参选文件（含有效书面承诺）进行综合评分。综合评分法，是指参选文件满足竞争性比选文件全部实质性要求且按照评审因素的量化指标评审得分最高的供应商为成交候选供应商的评审方法。供应商总得分为价格、商务、技术等评定因素分别按照相应权重值计算分项得分后相加，满分为100分。</w:t>
      </w:r>
    </w:p>
    <w:p w14:paraId="2A8CCDF7">
      <w:pPr>
        <w:snapToGrid w:val="0"/>
        <w:ind w:firstLine="560"/>
        <w:rPr>
          <w:rFonts w:ascii="Times New Roman" w:hAnsi="Times New Roman"/>
          <w:color w:val="auto"/>
          <w:highlight w:val="none"/>
        </w:rPr>
      </w:pPr>
      <w:r>
        <w:rPr>
          <w:rFonts w:ascii="Times New Roman" w:hAnsi="Times New Roman"/>
          <w:color w:val="auto"/>
          <w:highlight w:val="none"/>
        </w:rPr>
        <w:t>（十）评选小组各成员独立对每个实质性参选文件进行评价、打分，然后汇总每个供应商每项评分因素的得分，并根据综合评分情况按照评审得分由高到低顺序推荐成交候选供应商，并编写评审报告。若供应商的评审得分相同的，按照最后报价由低到高的顺序排列推荐。评审得分且最后报价相同的，按照</w:t>
      </w:r>
      <w:r>
        <w:rPr>
          <w:rFonts w:hint="eastAsia" w:ascii="Times New Roman" w:hAnsi="Times New Roman"/>
          <w:color w:val="auto"/>
          <w:highlight w:val="none"/>
        </w:rPr>
        <w:t>技术</w:t>
      </w:r>
      <w:r>
        <w:rPr>
          <w:rFonts w:ascii="Times New Roman" w:hAnsi="Times New Roman"/>
          <w:color w:val="auto"/>
          <w:highlight w:val="none"/>
        </w:rPr>
        <w:t>指标优劣顺序排列推荐。</w:t>
      </w:r>
    </w:p>
    <w:p w14:paraId="76C639B8">
      <w:pPr>
        <w:pStyle w:val="4"/>
        <w:adjustRightInd w:val="0"/>
        <w:snapToGrid w:val="0"/>
        <w:ind w:firstLine="280" w:firstLineChars="100"/>
        <w:jc w:val="left"/>
        <w:rPr>
          <w:rFonts w:ascii="Times New Roman" w:hAnsi="Times New Roman" w:eastAsia="方正黑体_GBK" w:cs="Times New Roman"/>
          <w:color w:val="auto"/>
          <w:sz w:val="28"/>
          <w:szCs w:val="20"/>
          <w:highlight w:val="none"/>
        </w:rPr>
      </w:pPr>
      <w:r>
        <w:rPr>
          <w:rFonts w:hint="eastAsia" w:ascii="Times New Roman" w:hAnsi="Times New Roman" w:eastAsia="方正黑体_GBK" w:cs="Times New Roman"/>
          <w:color w:val="auto"/>
          <w:sz w:val="28"/>
          <w:szCs w:val="20"/>
          <w:highlight w:val="none"/>
        </w:rPr>
        <w:t>二、评审标准</w:t>
      </w:r>
    </w:p>
    <w:tbl>
      <w:tblPr>
        <w:tblStyle w:val="1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15"/>
        <w:gridCol w:w="1239"/>
        <w:gridCol w:w="5135"/>
        <w:gridCol w:w="2126"/>
      </w:tblGrid>
      <w:tr w14:paraId="054B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828" w:type="dxa"/>
            <w:vAlign w:val="center"/>
          </w:tcPr>
          <w:p w14:paraId="2DA14281">
            <w:pPr>
              <w:spacing w:line="240" w:lineRule="atLeast"/>
              <w:ind w:firstLine="0" w:firstLineChars="0"/>
              <w:jc w:val="center"/>
              <w:rPr>
                <w:rFonts w:ascii="方正仿宋_GBK" w:hAnsi="方正仿宋_GBK" w:cs="方正仿宋_GBK"/>
                <w:b/>
                <w:color w:val="000000"/>
                <w:szCs w:val="28"/>
                <w:highlight w:val="none"/>
              </w:rPr>
            </w:pPr>
            <w:r>
              <w:rPr>
                <w:rFonts w:hint="eastAsia" w:ascii="方正仿宋_GBK" w:hAnsi="方正仿宋_GBK" w:cs="方正仿宋_GBK"/>
                <w:b/>
                <w:color w:val="000000"/>
                <w:szCs w:val="28"/>
                <w:highlight w:val="none"/>
              </w:rPr>
              <w:t>序号</w:t>
            </w:r>
          </w:p>
        </w:tc>
        <w:tc>
          <w:tcPr>
            <w:tcW w:w="2254" w:type="dxa"/>
            <w:gridSpan w:val="2"/>
            <w:vAlign w:val="center"/>
          </w:tcPr>
          <w:p w14:paraId="1E810FAE">
            <w:pPr>
              <w:spacing w:line="240" w:lineRule="atLeast"/>
              <w:ind w:firstLine="0" w:firstLineChars="0"/>
              <w:jc w:val="center"/>
              <w:rPr>
                <w:rFonts w:ascii="方正仿宋_GBK" w:hAnsi="方正仿宋_GBK" w:cs="方正仿宋_GBK"/>
                <w:b/>
                <w:color w:val="000000"/>
                <w:szCs w:val="28"/>
                <w:highlight w:val="none"/>
              </w:rPr>
            </w:pPr>
            <w:r>
              <w:rPr>
                <w:rFonts w:hint="eastAsia" w:ascii="方正仿宋_GBK" w:hAnsi="方正仿宋_GBK" w:cs="方正仿宋_GBK"/>
                <w:b/>
                <w:color w:val="000000"/>
                <w:szCs w:val="28"/>
                <w:highlight w:val="none"/>
              </w:rPr>
              <w:t>评分因素及权值</w:t>
            </w:r>
          </w:p>
        </w:tc>
        <w:tc>
          <w:tcPr>
            <w:tcW w:w="5135" w:type="dxa"/>
            <w:vAlign w:val="center"/>
          </w:tcPr>
          <w:p w14:paraId="58433E42">
            <w:pPr>
              <w:spacing w:line="240" w:lineRule="atLeast"/>
              <w:ind w:firstLine="0" w:firstLineChars="0"/>
              <w:jc w:val="center"/>
              <w:rPr>
                <w:rFonts w:ascii="方正仿宋_GBK" w:hAnsi="方正仿宋_GBK" w:cs="方正仿宋_GBK"/>
                <w:b/>
                <w:color w:val="000000"/>
                <w:szCs w:val="28"/>
                <w:highlight w:val="none"/>
              </w:rPr>
            </w:pPr>
            <w:r>
              <w:rPr>
                <w:rFonts w:hint="eastAsia" w:ascii="方正仿宋_GBK" w:hAnsi="方正仿宋_GBK" w:cs="方正仿宋_GBK"/>
                <w:b/>
                <w:color w:val="000000"/>
                <w:szCs w:val="28"/>
                <w:highlight w:val="none"/>
              </w:rPr>
              <w:t>评分标准</w:t>
            </w:r>
          </w:p>
        </w:tc>
        <w:tc>
          <w:tcPr>
            <w:tcW w:w="2126" w:type="dxa"/>
            <w:vAlign w:val="center"/>
          </w:tcPr>
          <w:p w14:paraId="26B83EB9">
            <w:pPr>
              <w:pStyle w:val="27"/>
              <w:spacing w:before="0" w:after="0" w:line="240" w:lineRule="atLeast"/>
              <w:ind w:firstLine="0" w:firstLineChars="0"/>
              <w:jc w:val="center"/>
              <w:rPr>
                <w:rFonts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说明</w:t>
            </w:r>
          </w:p>
        </w:tc>
      </w:tr>
      <w:tr w14:paraId="6B57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828" w:type="dxa"/>
            <w:vAlign w:val="center"/>
          </w:tcPr>
          <w:p w14:paraId="29CDF868">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w:t>
            </w:r>
          </w:p>
        </w:tc>
        <w:tc>
          <w:tcPr>
            <w:tcW w:w="1015" w:type="dxa"/>
            <w:vAlign w:val="center"/>
          </w:tcPr>
          <w:p w14:paraId="5DBF88E4">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报价</w:t>
            </w:r>
          </w:p>
          <w:p w14:paraId="17F38E3D">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部分（40%）</w:t>
            </w:r>
          </w:p>
        </w:tc>
        <w:tc>
          <w:tcPr>
            <w:tcW w:w="1239" w:type="dxa"/>
            <w:vAlign w:val="center"/>
          </w:tcPr>
          <w:p w14:paraId="75A473DA">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40分</w:t>
            </w:r>
          </w:p>
        </w:tc>
        <w:tc>
          <w:tcPr>
            <w:tcW w:w="5135" w:type="dxa"/>
            <w:vAlign w:val="center"/>
          </w:tcPr>
          <w:p w14:paraId="40FD6D27">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有效的参选报价中的最低价为评标基准价，其价格分为满分。其他参选人的价格分统一按照下列公式计算：</w:t>
            </w:r>
          </w:p>
          <w:p w14:paraId="2B24987C">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报价得分＝（评标基准价/参选报价）×价格权重×100。</w:t>
            </w:r>
          </w:p>
        </w:tc>
        <w:tc>
          <w:tcPr>
            <w:tcW w:w="2126" w:type="dxa"/>
            <w:vAlign w:val="center"/>
          </w:tcPr>
          <w:p w14:paraId="35FAA34A">
            <w:pPr>
              <w:widowControl/>
              <w:spacing w:line="300" w:lineRule="exact"/>
              <w:ind w:firstLine="0" w:firstLineChars="0"/>
              <w:jc w:val="center"/>
              <w:rPr>
                <w:rFonts w:ascii="仿宋" w:hAnsi="仿宋" w:eastAsia="仿宋" w:cs="仿宋"/>
                <w:bCs/>
                <w:sz w:val="21"/>
                <w:szCs w:val="21"/>
                <w:highlight w:val="none"/>
                <w:lang w:bidi="ar"/>
              </w:rPr>
            </w:pPr>
          </w:p>
        </w:tc>
      </w:tr>
      <w:tr w14:paraId="6A41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8" w:type="dxa"/>
            <w:vMerge w:val="restart"/>
            <w:vAlign w:val="center"/>
          </w:tcPr>
          <w:p w14:paraId="0A00515B">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2</w:t>
            </w:r>
          </w:p>
        </w:tc>
        <w:tc>
          <w:tcPr>
            <w:tcW w:w="1015" w:type="dxa"/>
            <w:vMerge w:val="restart"/>
            <w:vAlign w:val="center"/>
          </w:tcPr>
          <w:p w14:paraId="493DCC60">
            <w:pPr>
              <w:widowControl/>
              <w:spacing w:line="300" w:lineRule="exact"/>
              <w:ind w:firstLine="0" w:firstLineChars="0"/>
              <w:jc w:val="center"/>
              <w:rPr>
                <w:rFonts w:ascii="仿宋" w:hAnsi="仿宋" w:eastAsia="仿宋" w:cs="仿宋"/>
                <w:bCs/>
                <w:sz w:val="21"/>
                <w:szCs w:val="21"/>
                <w:highlight w:val="none"/>
                <w:lang w:bidi="ar"/>
              </w:rPr>
            </w:pPr>
          </w:p>
          <w:p w14:paraId="62D6612E">
            <w:pPr>
              <w:widowControl/>
              <w:spacing w:line="300" w:lineRule="exact"/>
              <w:ind w:firstLine="0" w:firstLineChars="0"/>
              <w:jc w:val="center"/>
              <w:rPr>
                <w:rFonts w:ascii="仿宋" w:hAnsi="仿宋" w:eastAsia="仿宋" w:cs="仿宋"/>
                <w:bCs/>
                <w:sz w:val="21"/>
                <w:szCs w:val="21"/>
                <w:highlight w:val="none"/>
                <w:lang w:bidi="ar"/>
              </w:rPr>
            </w:pPr>
          </w:p>
          <w:p w14:paraId="555B078A">
            <w:pPr>
              <w:widowControl/>
              <w:spacing w:line="300" w:lineRule="exact"/>
              <w:ind w:firstLine="0" w:firstLineChars="0"/>
              <w:jc w:val="center"/>
              <w:rPr>
                <w:rFonts w:ascii="仿宋" w:hAnsi="仿宋" w:eastAsia="仿宋" w:cs="仿宋"/>
                <w:bCs/>
                <w:sz w:val="21"/>
                <w:szCs w:val="21"/>
                <w:highlight w:val="none"/>
                <w:lang w:bidi="ar"/>
              </w:rPr>
            </w:pPr>
          </w:p>
          <w:p w14:paraId="203D0D34">
            <w:pPr>
              <w:widowControl/>
              <w:spacing w:line="300" w:lineRule="exact"/>
              <w:ind w:firstLine="0" w:firstLineChars="0"/>
              <w:jc w:val="center"/>
              <w:rPr>
                <w:rFonts w:ascii="仿宋" w:hAnsi="仿宋" w:eastAsia="仿宋" w:cs="仿宋"/>
                <w:bCs/>
                <w:sz w:val="21"/>
                <w:szCs w:val="21"/>
                <w:highlight w:val="none"/>
                <w:lang w:bidi="ar"/>
              </w:rPr>
            </w:pPr>
          </w:p>
          <w:p w14:paraId="61305616">
            <w:pPr>
              <w:widowControl/>
              <w:spacing w:line="300" w:lineRule="exact"/>
              <w:ind w:firstLine="0" w:firstLineChars="0"/>
              <w:jc w:val="center"/>
              <w:rPr>
                <w:rFonts w:ascii="仿宋" w:hAnsi="仿宋" w:eastAsia="仿宋" w:cs="仿宋"/>
                <w:bCs/>
                <w:sz w:val="21"/>
                <w:szCs w:val="21"/>
                <w:highlight w:val="none"/>
                <w:lang w:bidi="ar"/>
              </w:rPr>
            </w:pPr>
          </w:p>
          <w:p w14:paraId="16636DCD">
            <w:pPr>
              <w:widowControl/>
              <w:spacing w:line="300" w:lineRule="exact"/>
              <w:ind w:firstLine="0" w:firstLineChars="0"/>
              <w:jc w:val="center"/>
              <w:rPr>
                <w:rFonts w:ascii="仿宋" w:hAnsi="仿宋" w:eastAsia="仿宋" w:cs="仿宋"/>
                <w:bCs/>
                <w:sz w:val="21"/>
                <w:szCs w:val="21"/>
                <w:highlight w:val="none"/>
                <w:lang w:bidi="ar"/>
              </w:rPr>
            </w:pPr>
          </w:p>
          <w:p w14:paraId="7F7802D9">
            <w:pPr>
              <w:widowControl/>
              <w:spacing w:line="300" w:lineRule="exact"/>
              <w:ind w:firstLine="0" w:firstLineChars="0"/>
              <w:jc w:val="center"/>
              <w:rPr>
                <w:rFonts w:ascii="仿宋" w:hAnsi="仿宋" w:eastAsia="仿宋" w:cs="仿宋"/>
                <w:bCs/>
                <w:sz w:val="21"/>
                <w:szCs w:val="21"/>
                <w:highlight w:val="none"/>
                <w:lang w:bidi="ar"/>
              </w:rPr>
            </w:pPr>
          </w:p>
          <w:p w14:paraId="3A123392">
            <w:pPr>
              <w:widowControl/>
              <w:spacing w:line="300" w:lineRule="exact"/>
              <w:ind w:firstLine="0" w:firstLineChars="0"/>
              <w:jc w:val="center"/>
              <w:rPr>
                <w:rFonts w:ascii="仿宋" w:hAnsi="仿宋" w:eastAsia="仿宋" w:cs="仿宋"/>
                <w:bCs/>
                <w:sz w:val="21"/>
                <w:szCs w:val="21"/>
                <w:highlight w:val="none"/>
                <w:lang w:bidi="ar"/>
              </w:rPr>
            </w:pPr>
          </w:p>
          <w:p w14:paraId="675141E0">
            <w:pPr>
              <w:widowControl/>
              <w:spacing w:line="300" w:lineRule="exact"/>
              <w:ind w:firstLine="0" w:firstLineChars="0"/>
              <w:jc w:val="center"/>
              <w:rPr>
                <w:rFonts w:ascii="仿宋" w:hAnsi="仿宋" w:eastAsia="仿宋" w:cs="仿宋"/>
                <w:bCs/>
                <w:sz w:val="21"/>
                <w:szCs w:val="21"/>
                <w:highlight w:val="none"/>
                <w:lang w:bidi="ar"/>
              </w:rPr>
            </w:pPr>
          </w:p>
          <w:p w14:paraId="33592669">
            <w:pPr>
              <w:widowControl/>
              <w:spacing w:line="300" w:lineRule="exact"/>
              <w:ind w:firstLine="0" w:firstLineChars="0"/>
              <w:jc w:val="center"/>
              <w:rPr>
                <w:rFonts w:ascii="仿宋" w:hAnsi="仿宋" w:eastAsia="仿宋" w:cs="仿宋"/>
                <w:bCs/>
                <w:sz w:val="21"/>
                <w:szCs w:val="21"/>
                <w:highlight w:val="none"/>
                <w:lang w:bidi="ar"/>
              </w:rPr>
            </w:pPr>
          </w:p>
          <w:p w14:paraId="7E236388">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技术</w:t>
            </w:r>
          </w:p>
          <w:p w14:paraId="2EAE4CFF">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部分（45%）</w:t>
            </w:r>
          </w:p>
        </w:tc>
        <w:tc>
          <w:tcPr>
            <w:tcW w:w="1239" w:type="dxa"/>
            <w:vAlign w:val="center"/>
          </w:tcPr>
          <w:p w14:paraId="6FCC9E63">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技术方案（15分）</w:t>
            </w:r>
          </w:p>
        </w:tc>
        <w:tc>
          <w:tcPr>
            <w:tcW w:w="5135" w:type="dxa"/>
          </w:tcPr>
          <w:p w14:paraId="17E52E4F">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 xml:space="preserve">参选人需结合本项目安全服务采购需求与技术要求，提供全面适配的技术方案，核心内容包括：阐述政策背景及现状安全风险；安全服务依据、服务标准；技术实现路径。明确安全服务技术层面服务内容、服务流程与服务方式等。 </w:t>
            </w:r>
          </w:p>
          <w:p w14:paraId="4E2E475E">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评分标准：</w:t>
            </w:r>
          </w:p>
          <w:p w14:paraId="6074C39A">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（1）方案内容不存在瑕疵，得15分；</w:t>
            </w:r>
          </w:p>
          <w:p w14:paraId="7A80DEB5">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（2）方案内容存在1处瑕疵，得11分；</w:t>
            </w:r>
          </w:p>
          <w:p w14:paraId="3CECB7F2">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（3）方案内容存在2处瑕疵，得7分；</w:t>
            </w:r>
          </w:p>
          <w:p w14:paraId="605991DC">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（4）方案内容存在3处瑕疵，得3分；</w:t>
            </w:r>
          </w:p>
          <w:p w14:paraId="673D81AE">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（5）方案存在4处及以上瑕疵的或未提供得0分。</w:t>
            </w:r>
          </w:p>
        </w:tc>
        <w:tc>
          <w:tcPr>
            <w:tcW w:w="2126" w:type="dxa"/>
            <w:vMerge w:val="restart"/>
            <w:vAlign w:val="center"/>
          </w:tcPr>
          <w:p w14:paraId="3DA4EB78">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参选人在比选申请文件中提供相关方案。</w:t>
            </w:r>
          </w:p>
          <w:p w14:paraId="7AEA2CB6">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注：本项内容中所称的“瑕疵”：</w:t>
            </w:r>
          </w:p>
          <w:p w14:paraId="04C24552">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①要素欠缺、仅有标题而无实质意义叙述内容、内容表述不完整、缺少关键分析点；</w:t>
            </w:r>
          </w:p>
          <w:p w14:paraId="2BEA105D">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②缺乏科学合理性或存在逻辑漏洞、常识错误；</w:t>
            </w:r>
          </w:p>
          <w:p w14:paraId="4D8294C1">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③方案内容表述前后矛盾或无连贯性；</w:t>
            </w:r>
          </w:p>
          <w:p w14:paraId="25918934">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④内容空泛，无具体实施方法或内容；</w:t>
            </w:r>
          </w:p>
          <w:p w14:paraId="5B49689B">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⑤方案不适用本项目特性、非专门针对本项目制定、方案相关内容不利于项目目标实现；</w:t>
            </w:r>
          </w:p>
          <w:p w14:paraId="2A3EDE8C">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⑥方案内容中包含其他项目名称，或出现与本项目不相关的其他内容；</w:t>
            </w:r>
          </w:p>
          <w:p w14:paraId="48EC6B56">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⑦现有技术条件下不可能实现目标。</w:t>
            </w:r>
          </w:p>
          <w:p w14:paraId="30DEB136">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上述任意一种情形为1处瑕疵。</w:t>
            </w:r>
          </w:p>
        </w:tc>
      </w:tr>
      <w:tr w14:paraId="5193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828" w:type="dxa"/>
            <w:vMerge w:val="continue"/>
            <w:vAlign w:val="center"/>
          </w:tcPr>
          <w:p w14:paraId="64143F87">
            <w:pPr>
              <w:widowControl/>
              <w:spacing w:line="300" w:lineRule="exact"/>
              <w:ind w:firstLine="0" w:firstLineChars="0"/>
              <w:jc w:val="left"/>
              <w:rPr>
                <w:highlight w:val="none"/>
              </w:rPr>
            </w:pPr>
          </w:p>
        </w:tc>
        <w:tc>
          <w:tcPr>
            <w:tcW w:w="1015" w:type="dxa"/>
            <w:vMerge w:val="continue"/>
            <w:vAlign w:val="center"/>
          </w:tcPr>
          <w:p w14:paraId="77D60930">
            <w:pPr>
              <w:widowControl/>
              <w:spacing w:line="300" w:lineRule="exact"/>
              <w:ind w:firstLine="0" w:firstLineChars="0"/>
              <w:jc w:val="left"/>
              <w:rPr>
                <w:highlight w:val="none"/>
              </w:rPr>
            </w:pPr>
          </w:p>
        </w:tc>
        <w:tc>
          <w:tcPr>
            <w:tcW w:w="1239" w:type="dxa"/>
            <w:vAlign w:val="center"/>
          </w:tcPr>
          <w:p w14:paraId="692B6CE6">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实施方案（10分）</w:t>
            </w:r>
          </w:p>
        </w:tc>
        <w:tc>
          <w:tcPr>
            <w:tcW w:w="5135" w:type="dxa"/>
          </w:tcPr>
          <w:p w14:paraId="41FD9423">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参选人需制定本项目全流程可落地实施方案，核心内容包括：项目组织架构、驻场人员配置及分工；项目进度及保障措施；质量控制措施；现场+远程服务保障措施；建立报告审核等全流程质量管控机制，保障服务达标。</w:t>
            </w:r>
          </w:p>
          <w:p w14:paraId="3828E1BA">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评分标准：</w:t>
            </w:r>
          </w:p>
          <w:p w14:paraId="13685C56">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（1）方案内容不存在瑕疵，得10分；</w:t>
            </w:r>
          </w:p>
          <w:p w14:paraId="25AB18D3">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（2）方案内容存在1处瑕疵，得8分；</w:t>
            </w:r>
          </w:p>
          <w:p w14:paraId="2FE4185E">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（3）方案内容存在2处瑕疵，得5分；</w:t>
            </w:r>
          </w:p>
          <w:p w14:paraId="5C878D16">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（4）方案内容存在3处瑕疵，得2分；</w:t>
            </w:r>
          </w:p>
          <w:p w14:paraId="573C7502">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（5）方案存在4处及以上瑕疵的或未提供得0分。</w:t>
            </w:r>
          </w:p>
        </w:tc>
        <w:tc>
          <w:tcPr>
            <w:tcW w:w="2126" w:type="dxa"/>
            <w:vMerge w:val="continue"/>
            <w:vAlign w:val="center"/>
          </w:tcPr>
          <w:p w14:paraId="4561BCC5">
            <w:pPr>
              <w:widowControl/>
              <w:spacing w:line="300" w:lineRule="exact"/>
              <w:ind w:firstLine="0" w:firstLineChars="0"/>
              <w:jc w:val="left"/>
              <w:rPr>
                <w:rFonts w:ascii="仿宋" w:hAnsi="仿宋" w:eastAsia="仿宋" w:cs="仿宋"/>
                <w:bCs/>
                <w:sz w:val="21"/>
                <w:szCs w:val="21"/>
                <w:highlight w:val="none"/>
                <w:lang w:bidi="ar"/>
              </w:rPr>
            </w:pPr>
          </w:p>
        </w:tc>
      </w:tr>
      <w:tr w14:paraId="64F8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8" w:type="dxa"/>
            <w:vMerge w:val="continue"/>
            <w:vAlign w:val="center"/>
          </w:tcPr>
          <w:p w14:paraId="2A3D39C8">
            <w:pPr>
              <w:widowControl/>
              <w:spacing w:line="300" w:lineRule="exact"/>
              <w:ind w:firstLine="0" w:firstLineChars="0"/>
              <w:jc w:val="left"/>
              <w:rPr>
                <w:rFonts w:ascii="仿宋" w:hAnsi="仿宋" w:eastAsia="仿宋" w:cs="仿宋"/>
                <w:bCs/>
                <w:sz w:val="21"/>
                <w:szCs w:val="21"/>
                <w:highlight w:val="none"/>
                <w:lang w:bidi="ar"/>
              </w:rPr>
            </w:pPr>
          </w:p>
        </w:tc>
        <w:tc>
          <w:tcPr>
            <w:tcW w:w="1015" w:type="dxa"/>
            <w:vMerge w:val="continue"/>
            <w:vAlign w:val="center"/>
          </w:tcPr>
          <w:p w14:paraId="09DE72D2">
            <w:pPr>
              <w:widowControl/>
              <w:spacing w:line="300" w:lineRule="exact"/>
              <w:ind w:firstLine="0" w:firstLineChars="0"/>
              <w:jc w:val="left"/>
              <w:rPr>
                <w:rFonts w:ascii="仿宋" w:hAnsi="仿宋" w:eastAsia="仿宋" w:cs="仿宋"/>
                <w:bCs/>
                <w:sz w:val="21"/>
                <w:szCs w:val="21"/>
                <w:highlight w:val="none"/>
                <w:lang w:bidi="ar"/>
              </w:rPr>
            </w:pPr>
          </w:p>
        </w:tc>
        <w:tc>
          <w:tcPr>
            <w:tcW w:w="1239" w:type="dxa"/>
            <w:vAlign w:val="center"/>
          </w:tcPr>
          <w:p w14:paraId="4CDAD48C">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风险控制方案</w:t>
            </w:r>
          </w:p>
          <w:p w14:paraId="35E78881">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（10分）</w:t>
            </w:r>
          </w:p>
        </w:tc>
        <w:tc>
          <w:tcPr>
            <w:tcW w:w="5135" w:type="dxa"/>
          </w:tcPr>
          <w:p w14:paraId="0E6C88C5">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参选人需结合本项目场景制定风险控制方案，核心内容包括：精准识别服务全流程风险；针对各类风险制定具体、可操作的防控措施；建立风险预警机制；制定风险应急处置预案。</w:t>
            </w:r>
          </w:p>
          <w:p w14:paraId="74C7A11D">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评分标准：</w:t>
            </w:r>
          </w:p>
          <w:p w14:paraId="297CD48A">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（1）方案内容不存在瑕疵，得10分；</w:t>
            </w:r>
          </w:p>
          <w:p w14:paraId="34F2877A">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（2）方案内容存在1处瑕疵，得8分；</w:t>
            </w:r>
          </w:p>
          <w:p w14:paraId="574428E3">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（3）方案内容存在2处瑕疵，得5分；</w:t>
            </w:r>
          </w:p>
          <w:p w14:paraId="6CE176EF">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（4）方案内容存在3处瑕疵，得2分；</w:t>
            </w:r>
          </w:p>
          <w:p w14:paraId="209CB34D">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（5）方案存在4处及以上瑕疵的或未提供得0分。</w:t>
            </w:r>
          </w:p>
        </w:tc>
        <w:tc>
          <w:tcPr>
            <w:tcW w:w="2126" w:type="dxa"/>
            <w:vMerge w:val="continue"/>
            <w:vAlign w:val="center"/>
          </w:tcPr>
          <w:p w14:paraId="369749D8">
            <w:pPr>
              <w:widowControl/>
              <w:spacing w:line="300" w:lineRule="exact"/>
              <w:ind w:firstLine="0" w:firstLineChars="0"/>
              <w:jc w:val="left"/>
              <w:rPr>
                <w:rFonts w:ascii="仿宋" w:hAnsi="仿宋" w:eastAsia="仿宋" w:cs="仿宋"/>
                <w:bCs/>
                <w:sz w:val="21"/>
                <w:szCs w:val="21"/>
                <w:highlight w:val="none"/>
                <w:lang w:bidi="ar"/>
              </w:rPr>
            </w:pPr>
          </w:p>
        </w:tc>
      </w:tr>
      <w:tr w14:paraId="0B05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828" w:type="dxa"/>
            <w:vMerge w:val="continue"/>
            <w:vAlign w:val="center"/>
          </w:tcPr>
          <w:p w14:paraId="34BCFA4C">
            <w:pPr>
              <w:widowControl/>
              <w:spacing w:line="300" w:lineRule="exact"/>
              <w:ind w:firstLine="0" w:firstLineChars="0"/>
              <w:jc w:val="left"/>
              <w:rPr>
                <w:rFonts w:ascii="仿宋" w:hAnsi="仿宋" w:eastAsia="仿宋" w:cs="仿宋"/>
                <w:bCs/>
                <w:sz w:val="21"/>
                <w:szCs w:val="21"/>
                <w:highlight w:val="none"/>
                <w:lang w:bidi="ar"/>
              </w:rPr>
            </w:pPr>
          </w:p>
        </w:tc>
        <w:tc>
          <w:tcPr>
            <w:tcW w:w="1015" w:type="dxa"/>
            <w:vMerge w:val="continue"/>
            <w:vAlign w:val="center"/>
          </w:tcPr>
          <w:p w14:paraId="50DAF872">
            <w:pPr>
              <w:widowControl/>
              <w:spacing w:line="300" w:lineRule="exact"/>
              <w:ind w:firstLine="0" w:firstLineChars="0"/>
              <w:jc w:val="left"/>
              <w:rPr>
                <w:rFonts w:ascii="仿宋" w:hAnsi="仿宋" w:eastAsia="仿宋" w:cs="仿宋"/>
                <w:bCs/>
                <w:sz w:val="21"/>
                <w:szCs w:val="21"/>
                <w:highlight w:val="none"/>
                <w:lang w:bidi="ar"/>
              </w:rPr>
            </w:pPr>
          </w:p>
        </w:tc>
        <w:tc>
          <w:tcPr>
            <w:tcW w:w="1239" w:type="dxa"/>
            <w:vAlign w:val="center"/>
          </w:tcPr>
          <w:p w14:paraId="7B7A0826">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培训方案（10分）</w:t>
            </w:r>
          </w:p>
        </w:tc>
        <w:tc>
          <w:tcPr>
            <w:tcW w:w="5135" w:type="dxa"/>
          </w:tcPr>
          <w:p w14:paraId="139798BC">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参选人需结合本项目安全培训需求，制定完整且针对性强的培训方案，核心内容包括：项目整体培训目标和培训对象；项目培训方式和培训内容；项目具体培训计划。</w:t>
            </w:r>
          </w:p>
          <w:p w14:paraId="39CB32BF">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（1）方案内容不存在瑕疵，得10分；</w:t>
            </w:r>
          </w:p>
          <w:p w14:paraId="4366AA0B">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（2）方案内容存在1处瑕疵，得8分；</w:t>
            </w:r>
          </w:p>
          <w:p w14:paraId="54964DF9">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（3）方案内容存在2处瑕疵，得5分；</w:t>
            </w:r>
          </w:p>
          <w:p w14:paraId="253A2B77">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（4）方案内容存在3处瑕疵，得2分；</w:t>
            </w:r>
          </w:p>
          <w:p w14:paraId="43A23E2F">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（5）方案存在4处及以上瑕疵的或未提供得0分。</w:t>
            </w:r>
          </w:p>
        </w:tc>
        <w:tc>
          <w:tcPr>
            <w:tcW w:w="2126" w:type="dxa"/>
            <w:vMerge w:val="continue"/>
            <w:vAlign w:val="center"/>
          </w:tcPr>
          <w:p w14:paraId="423875A1">
            <w:pPr>
              <w:widowControl/>
              <w:spacing w:line="300" w:lineRule="exact"/>
              <w:ind w:firstLine="0" w:firstLineChars="0"/>
              <w:jc w:val="left"/>
              <w:rPr>
                <w:rFonts w:ascii="仿宋" w:hAnsi="仿宋" w:eastAsia="仿宋" w:cs="仿宋"/>
                <w:bCs/>
                <w:sz w:val="21"/>
                <w:szCs w:val="21"/>
                <w:highlight w:val="none"/>
                <w:lang w:bidi="ar"/>
              </w:rPr>
            </w:pPr>
          </w:p>
        </w:tc>
      </w:tr>
      <w:tr w14:paraId="519A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28" w:type="dxa"/>
            <w:vMerge w:val="restart"/>
            <w:vAlign w:val="center"/>
          </w:tcPr>
          <w:p w14:paraId="6AFA66F7">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3</w:t>
            </w:r>
          </w:p>
        </w:tc>
        <w:tc>
          <w:tcPr>
            <w:tcW w:w="1015" w:type="dxa"/>
            <w:vMerge w:val="restart"/>
            <w:vAlign w:val="center"/>
          </w:tcPr>
          <w:p w14:paraId="234CEF2B">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商务部分（15%）</w:t>
            </w:r>
          </w:p>
        </w:tc>
        <w:tc>
          <w:tcPr>
            <w:tcW w:w="1239" w:type="dxa"/>
            <w:vAlign w:val="center"/>
          </w:tcPr>
          <w:p w14:paraId="59800B94">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保障能力（6分）</w:t>
            </w:r>
          </w:p>
        </w:tc>
        <w:tc>
          <w:tcPr>
            <w:tcW w:w="5135" w:type="dxa"/>
            <w:vAlign w:val="center"/>
          </w:tcPr>
          <w:p w14:paraId="20490722">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1.参选人项目经理同时具备①项目管理认证PMP、②注册信息安全专业人员认证（CISP）或信息安全保障人员认证（CISAW），得3分；具备其中一项得1分，未提供不得分。</w:t>
            </w:r>
          </w:p>
          <w:p w14:paraId="2CA35914">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2.项目经理以外的其他团队成员，具备注册信息安全专业人员认证（CISP）或信息安全保障人员认证（CISAW）1分，最多得3分，未提供不得分。</w:t>
            </w:r>
          </w:p>
        </w:tc>
        <w:tc>
          <w:tcPr>
            <w:tcW w:w="2126" w:type="dxa"/>
            <w:vAlign w:val="center"/>
          </w:tcPr>
          <w:p w14:paraId="119D10D0">
            <w:pPr>
              <w:widowControl/>
              <w:spacing w:line="300" w:lineRule="exact"/>
              <w:ind w:firstLine="0" w:firstLineChars="0"/>
              <w:jc w:val="left"/>
              <w:rPr>
                <w:rFonts w:ascii="仿宋" w:hAnsi="仿宋" w:eastAsia="仿宋" w:cs="仿宋"/>
                <w:bCs/>
                <w:sz w:val="21"/>
                <w:szCs w:val="21"/>
                <w:highlight w:val="none"/>
                <w:lang w:bidi="ar"/>
              </w:rPr>
            </w:pPr>
            <w:bookmarkStart w:id="113" w:name="_Hlk223616513"/>
            <w:r>
              <w:rPr>
                <w:rFonts w:hint="eastAsia" w:ascii="仿宋" w:hAnsi="仿宋" w:eastAsia="仿宋" w:cs="仿宋"/>
                <w:bCs/>
                <w:sz w:val="21"/>
                <w:szCs w:val="21"/>
                <w:highlight w:val="none"/>
                <w:lang w:bidi="ar"/>
              </w:rPr>
              <w:t>提供上述人员的身份证、证书复印件、参选人为其缴纳的连续6个月（</w:t>
            </w:r>
            <w:r>
              <w:rPr>
                <w:rFonts w:ascii="仿宋" w:hAnsi="仿宋" w:eastAsia="仿宋" w:cs="仿宋"/>
                <w:bCs/>
                <w:sz w:val="21"/>
                <w:szCs w:val="21"/>
                <w:highlight w:val="none"/>
                <w:lang w:bidi="ar"/>
              </w:rPr>
              <w:t>2025年8月至2026年1月）</w:t>
            </w:r>
            <w:r>
              <w:rPr>
                <w:rFonts w:hint="eastAsia" w:ascii="仿宋" w:hAnsi="仿宋" w:eastAsia="仿宋" w:cs="仿宋"/>
                <w:bCs/>
                <w:sz w:val="21"/>
                <w:szCs w:val="21"/>
                <w:highlight w:val="none"/>
                <w:lang w:bidi="ar"/>
              </w:rPr>
              <w:t>社会保险证明材料复印件或扫描件</w:t>
            </w:r>
            <w:bookmarkEnd w:id="113"/>
            <w:r>
              <w:rPr>
                <w:rFonts w:hint="eastAsia" w:ascii="仿宋" w:hAnsi="仿宋" w:eastAsia="仿宋" w:cs="仿宋"/>
                <w:bCs/>
                <w:sz w:val="21"/>
                <w:szCs w:val="21"/>
                <w:highlight w:val="none"/>
                <w:lang w:bidi="ar"/>
              </w:rPr>
              <w:t>，社保缴纳单位名称与参选人名称保持一致，上述人员需为分别不同的人源，否则不得分。</w:t>
            </w:r>
          </w:p>
        </w:tc>
      </w:tr>
      <w:tr w14:paraId="2591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28" w:type="dxa"/>
            <w:vMerge w:val="continue"/>
            <w:vAlign w:val="center"/>
          </w:tcPr>
          <w:p w14:paraId="34E0F3D3">
            <w:pPr>
              <w:widowControl/>
              <w:spacing w:line="300" w:lineRule="exact"/>
              <w:ind w:firstLine="0" w:firstLineChars="0"/>
              <w:jc w:val="left"/>
              <w:rPr>
                <w:rFonts w:ascii="仿宋" w:hAnsi="仿宋" w:eastAsia="仿宋" w:cs="仿宋"/>
                <w:bCs/>
                <w:sz w:val="21"/>
                <w:szCs w:val="21"/>
                <w:highlight w:val="none"/>
                <w:lang w:bidi="ar"/>
              </w:rPr>
            </w:pPr>
          </w:p>
        </w:tc>
        <w:tc>
          <w:tcPr>
            <w:tcW w:w="1015" w:type="dxa"/>
            <w:vMerge w:val="continue"/>
            <w:vAlign w:val="center"/>
          </w:tcPr>
          <w:p w14:paraId="34F6BAD9">
            <w:pPr>
              <w:widowControl/>
              <w:spacing w:line="300" w:lineRule="exact"/>
              <w:ind w:firstLine="0" w:firstLineChars="0"/>
              <w:jc w:val="left"/>
              <w:rPr>
                <w:rFonts w:ascii="仿宋" w:hAnsi="仿宋" w:eastAsia="仿宋" w:cs="仿宋"/>
                <w:bCs/>
                <w:sz w:val="21"/>
                <w:szCs w:val="21"/>
                <w:highlight w:val="none"/>
                <w:lang w:bidi="ar"/>
              </w:rPr>
            </w:pPr>
          </w:p>
        </w:tc>
        <w:tc>
          <w:tcPr>
            <w:tcW w:w="1239" w:type="dxa"/>
            <w:vAlign w:val="center"/>
          </w:tcPr>
          <w:p w14:paraId="786ADE76">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企业实力（3分）</w:t>
            </w:r>
          </w:p>
        </w:tc>
        <w:tc>
          <w:tcPr>
            <w:tcW w:w="5135" w:type="dxa"/>
            <w:vAlign w:val="center"/>
          </w:tcPr>
          <w:p w14:paraId="36E54795">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参选人同时具备①有效的信息技术服务管理体系认证证书（ISO/IEC 20000-1:2018）、②有效的信息安全管理体系认证证书（ISO/IEC 27001:2022），得3分；具备其中一项得1分，未提供不得分。</w:t>
            </w:r>
          </w:p>
        </w:tc>
        <w:tc>
          <w:tcPr>
            <w:tcW w:w="2126" w:type="dxa"/>
            <w:vAlign w:val="center"/>
          </w:tcPr>
          <w:p w14:paraId="14F7FC91">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提供证书复印件、证书查验截图并加盖参选人公章。</w:t>
            </w:r>
          </w:p>
          <w:p w14:paraId="08A10D90">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注：获证主体须与参选人名称保持一致 ，否则不得分。</w:t>
            </w:r>
          </w:p>
        </w:tc>
      </w:tr>
      <w:tr w14:paraId="02FE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828" w:type="dxa"/>
            <w:vMerge w:val="continue"/>
            <w:vAlign w:val="center"/>
          </w:tcPr>
          <w:p w14:paraId="6C3DE22D">
            <w:pPr>
              <w:widowControl/>
              <w:spacing w:line="300" w:lineRule="exact"/>
              <w:ind w:firstLine="0" w:firstLineChars="0"/>
              <w:jc w:val="left"/>
              <w:rPr>
                <w:rFonts w:ascii="仿宋" w:hAnsi="仿宋" w:eastAsia="仿宋" w:cs="仿宋"/>
                <w:bCs/>
                <w:sz w:val="21"/>
                <w:szCs w:val="21"/>
                <w:highlight w:val="none"/>
                <w:lang w:bidi="ar"/>
              </w:rPr>
            </w:pPr>
          </w:p>
        </w:tc>
        <w:tc>
          <w:tcPr>
            <w:tcW w:w="1015" w:type="dxa"/>
            <w:vMerge w:val="continue"/>
            <w:vAlign w:val="center"/>
          </w:tcPr>
          <w:p w14:paraId="1D1ABAE1">
            <w:pPr>
              <w:widowControl/>
              <w:spacing w:line="300" w:lineRule="exact"/>
              <w:ind w:firstLine="0" w:firstLineChars="0"/>
              <w:jc w:val="left"/>
              <w:rPr>
                <w:rFonts w:ascii="仿宋" w:hAnsi="仿宋" w:eastAsia="仿宋" w:cs="仿宋"/>
                <w:bCs/>
                <w:sz w:val="21"/>
                <w:szCs w:val="21"/>
                <w:highlight w:val="none"/>
                <w:lang w:bidi="ar"/>
              </w:rPr>
            </w:pPr>
          </w:p>
        </w:tc>
        <w:tc>
          <w:tcPr>
            <w:tcW w:w="1239" w:type="dxa"/>
            <w:vAlign w:val="center"/>
          </w:tcPr>
          <w:p w14:paraId="0DD3C17D">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业绩</w:t>
            </w:r>
          </w:p>
          <w:p w14:paraId="25801E2F">
            <w:pPr>
              <w:widowControl/>
              <w:spacing w:line="300" w:lineRule="exact"/>
              <w:ind w:firstLine="0" w:firstLineChars="0"/>
              <w:jc w:val="center"/>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（6分）</w:t>
            </w:r>
          </w:p>
        </w:tc>
        <w:tc>
          <w:tcPr>
            <w:tcW w:w="5135" w:type="dxa"/>
            <w:vAlign w:val="center"/>
          </w:tcPr>
          <w:p w14:paraId="3F12BFC0">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参选人自2023年1月1日至参选截止日止（以合同签订时间为准），具有信息安全服务或安全运维与保障服务相关项目业绩，每提供一个业绩得3分，最多得6分。</w:t>
            </w:r>
          </w:p>
        </w:tc>
        <w:tc>
          <w:tcPr>
            <w:tcW w:w="2126" w:type="dxa"/>
            <w:vAlign w:val="center"/>
          </w:tcPr>
          <w:p w14:paraId="4D52F7F3">
            <w:pPr>
              <w:widowControl/>
              <w:spacing w:line="300" w:lineRule="exact"/>
              <w:ind w:firstLine="0" w:firstLineChars="0"/>
              <w:jc w:val="left"/>
              <w:rPr>
                <w:rFonts w:ascii="仿宋" w:hAnsi="仿宋" w:eastAsia="仿宋" w:cs="仿宋"/>
                <w:bCs/>
                <w:sz w:val="21"/>
                <w:szCs w:val="21"/>
                <w:highlight w:val="none"/>
                <w:lang w:bidi="ar"/>
              </w:rPr>
            </w:pPr>
            <w:r>
              <w:rPr>
                <w:rFonts w:hint="eastAsia" w:ascii="仿宋" w:hAnsi="仿宋" w:eastAsia="仿宋" w:cs="仿宋"/>
                <w:bCs/>
                <w:sz w:val="21"/>
                <w:szCs w:val="21"/>
                <w:highlight w:val="none"/>
                <w:lang w:bidi="ar"/>
              </w:rPr>
              <w:t>提供包含合同首页、签章页、金额页的合同复印件并加盖参选人公章。</w:t>
            </w:r>
          </w:p>
        </w:tc>
      </w:tr>
    </w:tbl>
    <w:p w14:paraId="0B8553F6">
      <w:pPr>
        <w:snapToGrid w:val="0"/>
        <w:ind w:firstLine="560"/>
        <w:rPr>
          <w:rFonts w:ascii="Times New Roman" w:hAnsi="Times New Roman"/>
          <w:color w:val="auto"/>
          <w:highlight w:val="none"/>
        </w:rPr>
      </w:pPr>
    </w:p>
    <w:p w14:paraId="14F2C3C3">
      <w:pPr>
        <w:spacing w:line="500" w:lineRule="exact"/>
        <w:ind w:firstLine="0" w:firstLineChars="0"/>
        <w:jc w:val="left"/>
        <w:rPr>
          <w:rFonts w:ascii="Times New Roman" w:hAnsi="Times New Roman" w:eastAsia="仿宋"/>
          <w:bCs/>
          <w:color w:val="auto"/>
          <w:sz w:val="24"/>
          <w:highlight w:val="none"/>
        </w:rPr>
      </w:pPr>
      <w:r>
        <w:rPr>
          <w:rFonts w:ascii="Times New Roman" w:hAnsi="Times New Roman" w:eastAsia="仿宋"/>
          <w:bCs/>
          <w:color w:val="auto"/>
          <w:sz w:val="24"/>
          <w:highlight w:val="none"/>
        </w:rPr>
        <w:t>说明：评选小组认为参选人的报价明显低于其他通过符合性审查</w:t>
      </w:r>
      <w:r>
        <w:rPr>
          <w:rFonts w:hint="eastAsia" w:ascii="Times New Roman" w:hAnsi="Times New Roman" w:eastAsia="仿宋"/>
          <w:bCs/>
          <w:color w:val="auto"/>
          <w:sz w:val="24"/>
          <w:highlight w:val="none"/>
        </w:rPr>
        <w:t>参选</w:t>
      </w:r>
      <w:r>
        <w:rPr>
          <w:rFonts w:ascii="Times New Roman" w:hAnsi="Times New Roman" w:eastAsia="仿宋"/>
          <w:bCs/>
          <w:color w:val="auto"/>
          <w:sz w:val="24"/>
          <w:highlight w:val="none"/>
        </w:rPr>
        <w:t>人的报价，有可能影响产品质量或者不能诚信履约的，应当要求其在比选现场合理的时间内提供书面说明，必要时提交相关证明材料；参选人不能证明其报价合理性的，评选小组应当将其作为无效比选处理。</w:t>
      </w:r>
    </w:p>
    <w:p w14:paraId="404CCD92">
      <w:pPr>
        <w:pStyle w:val="4"/>
        <w:adjustRightInd w:val="0"/>
        <w:snapToGrid w:val="0"/>
        <w:ind w:firstLine="560"/>
        <w:jc w:val="left"/>
        <w:rPr>
          <w:rFonts w:ascii="Times New Roman" w:hAnsi="Times New Roman" w:eastAsia="方正黑体_GBK" w:cs="Times New Roman"/>
          <w:color w:val="auto"/>
          <w:sz w:val="28"/>
          <w:szCs w:val="20"/>
          <w:highlight w:val="none"/>
        </w:rPr>
      </w:pPr>
      <w:bookmarkStart w:id="114" w:name="_Toc9870"/>
      <w:bookmarkStart w:id="115" w:name="_Toc7618"/>
      <w:bookmarkStart w:id="116" w:name="_Toc27781"/>
      <w:bookmarkStart w:id="117" w:name="_Toc105081925"/>
      <w:bookmarkStart w:id="118" w:name="_Toc26660"/>
      <w:r>
        <w:rPr>
          <w:rFonts w:hint="eastAsia" w:ascii="Times New Roman" w:hAnsi="Times New Roman" w:eastAsia="方正黑体_GBK" w:cs="Times New Roman"/>
          <w:color w:val="auto"/>
          <w:sz w:val="28"/>
          <w:szCs w:val="20"/>
          <w:highlight w:val="none"/>
        </w:rPr>
        <w:t>三、无效响应</w:t>
      </w:r>
      <w:bookmarkEnd w:id="114"/>
      <w:bookmarkEnd w:id="115"/>
      <w:bookmarkEnd w:id="116"/>
      <w:bookmarkEnd w:id="117"/>
      <w:bookmarkEnd w:id="118"/>
    </w:p>
    <w:p w14:paraId="5D773E67">
      <w:pPr>
        <w:ind w:firstLine="560"/>
        <w:rPr>
          <w:rFonts w:ascii="Times New Roman" w:hAnsi="Times New Roman" w:eastAsia="仿宋"/>
          <w:color w:val="auto"/>
          <w:highlight w:val="none"/>
        </w:rPr>
      </w:pPr>
      <w:r>
        <w:rPr>
          <w:rFonts w:ascii="Times New Roman" w:hAnsi="Times New Roman" w:eastAsia="仿宋"/>
          <w:color w:val="auto"/>
          <w:highlight w:val="none"/>
        </w:rPr>
        <w:t>供应商发生以下条款情况之一者，视为无效响应：</w:t>
      </w:r>
    </w:p>
    <w:p w14:paraId="42A1EE34">
      <w:pPr>
        <w:ind w:firstLine="560"/>
        <w:rPr>
          <w:rFonts w:ascii="Times New Roman" w:hAnsi="Times New Roman" w:eastAsia="仿宋"/>
          <w:color w:val="auto"/>
          <w:highlight w:val="none"/>
        </w:rPr>
      </w:pPr>
      <w:r>
        <w:rPr>
          <w:rFonts w:ascii="Times New Roman" w:hAnsi="Times New Roman" w:eastAsia="仿宋"/>
          <w:color w:val="auto"/>
          <w:highlight w:val="none"/>
        </w:rPr>
        <w:t>（一）供应商不符合规定的基本资格条件或特定资格条件的；</w:t>
      </w:r>
    </w:p>
    <w:p w14:paraId="593C133C">
      <w:pPr>
        <w:ind w:firstLine="560"/>
        <w:rPr>
          <w:rFonts w:ascii="Times New Roman" w:hAnsi="Times New Roman" w:eastAsia="仿宋"/>
          <w:color w:val="auto"/>
          <w:highlight w:val="none"/>
        </w:rPr>
      </w:pPr>
      <w:r>
        <w:rPr>
          <w:rFonts w:ascii="Times New Roman" w:hAnsi="Times New Roman" w:eastAsia="仿宋"/>
          <w:color w:val="auto"/>
          <w:highlight w:val="none"/>
        </w:rPr>
        <w:t>（二）供应商的法定代表人或其授权代表未参加比选；</w:t>
      </w:r>
    </w:p>
    <w:p w14:paraId="70BAD689">
      <w:pPr>
        <w:ind w:firstLine="560"/>
        <w:rPr>
          <w:rFonts w:ascii="Times New Roman" w:hAnsi="Times New Roman" w:eastAsia="仿宋"/>
          <w:color w:val="auto"/>
          <w:highlight w:val="none"/>
        </w:rPr>
      </w:pPr>
      <w:r>
        <w:rPr>
          <w:rFonts w:ascii="Times New Roman" w:hAnsi="Times New Roman" w:eastAsia="仿宋"/>
          <w:color w:val="auto"/>
          <w:highlight w:val="none"/>
        </w:rPr>
        <w:t>（三）供应商所提交的参选文件不按第七篇“参选文件编制要求”规定签字、盖章；</w:t>
      </w:r>
    </w:p>
    <w:p w14:paraId="4AC53BA2">
      <w:pPr>
        <w:ind w:firstLine="560"/>
        <w:rPr>
          <w:rFonts w:ascii="Times New Roman" w:hAnsi="Times New Roman" w:eastAsia="仿宋"/>
          <w:color w:val="auto"/>
          <w:highlight w:val="none"/>
        </w:rPr>
      </w:pPr>
      <w:r>
        <w:rPr>
          <w:rFonts w:ascii="Times New Roman" w:hAnsi="Times New Roman" w:eastAsia="仿宋"/>
          <w:color w:val="auto"/>
          <w:highlight w:val="none"/>
        </w:rPr>
        <w:t>（四）供应商的报价超过采购限价的；</w:t>
      </w:r>
    </w:p>
    <w:p w14:paraId="0B8D850E">
      <w:pPr>
        <w:ind w:firstLine="560"/>
        <w:rPr>
          <w:rFonts w:ascii="Times New Roman" w:hAnsi="Times New Roman" w:eastAsia="仿宋"/>
          <w:color w:val="auto"/>
          <w:highlight w:val="none"/>
        </w:rPr>
      </w:pPr>
      <w:r>
        <w:rPr>
          <w:rFonts w:ascii="Times New Roman" w:hAnsi="Times New Roman" w:eastAsia="仿宋"/>
          <w:color w:val="auto"/>
          <w:highlight w:val="none"/>
        </w:rPr>
        <w:t>（五）法定代表人为同一个人的两个及两个以上法人，母公司、全资子公司及其控股公司，在同一分包采购中同时参与比选；</w:t>
      </w:r>
    </w:p>
    <w:p w14:paraId="4F361D56">
      <w:pPr>
        <w:ind w:firstLine="560"/>
        <w:rPr>
          <w:rFonts w:ascii="Times New Roman" w:hAnsi="Times New Roman" w:eastAsia="仿宋"/>
          <w:color w:val="auto"/>
          <w:highlight w:val="none"/>
        </w:rPr>
      </w:pPr>
      <w:r>
        <w:rPr>
          <w:rFonts w:ascii="Times New Roman" w:hAnsi="Times New Roman" w:eastAsia="仿宋"/>
          <w:color w:val="auto"/>
          <w:highlight w:val="none"/>
        </w:rPr>
        <w:t>（六）单位负责人为同一人或者存在直接控股、管理关系的不同供应商，参加同一合同项下的政府采购活动的；</w:t>
      </w:r>
    </w:p>
    <w:p w14:paraId="6A104F5F">
      <w:pPr>
        <w:ind w:firstLine="560"/>
        <w:rPr>
          <w:rFonts w:ascii="Times New Roman" w:hAnsi="Times New Roman" w:eastAsia="仿宋"/>
          <w:color w:val="auto"/>
          <w:highlight w:val="none"/>
        </w:rPr>
      </w:pPr>
      <w:r>
        <w:rPr>
          <w:rFonts w:ascii="Times New Roman" w:hAnsi="Times New Roman" w:eastAsia="仿宋"/>
          <w:color w:val="auto"/>
          <w:highlight w:val="none"/>
        </w:rPr>
        <w:t>（七）供应商的服务期、质量保证期及比选有效期不满足竞争性比选文件要求的；</w:t>
      </w:r>
    </w:p>
    <w:p w14:paraId="0EC1D545">
      <w:pPr>
        <w:ind w:firstLine="560"/>
        <w:rPr>
          <w:rFonts w:ascii="Times New Roman" w:hAnsi="Times New Roman" w:eastAsia="仿宋"/>
          <w:color w:val="auto"/>
          <w:highlight w:val="none"/>
        </w:rPr>
      </w:pPr>
      <w:r>
        <w:rPr>
          <w:rFonts w:ascii="Times New Roman" w:hAnsi="Times New Roman" w:eastAsia="仿宋"/>
          <w:color w:val="auto"/>
          <w:highlight w:val="none"/>
        </w:rPr>
        <w:t>（八）供应商参选文件内容有与国家现行法律法规相违背的内容，或附有采购人无法接受的条件。</w:t>
      </w:r>
    </w:p>
    <w:p w14:paraId="3D1F5ECE">
      <w:pPr>
        <w:ind w:firstLine="560"/>
        <w:rPr>
          <w:rFonts w:ascii="Times New Roman" w:hAnsi="Times New Roman" w:eastAsia="仿宋"/>
          <w:color w:val="auto"/>
          <w:highlight w:val="none"/>
        </w:rPr>
      </w:pPr>
      <w:r>
        <w:rPr>
          <w:rFonts w:ascii="Times New Roman" w:hAnsi="Times New Roman" w:eastAsia="仿宋"/>
          <w:color w:val="auto"/>
          <w:highlight w:val="none"/>
        </w:rPr>
        <w:t>有下列情形之一的，视为供应商相互串通比选。</w:t>
      </w:r>
    </w:p>
    <w:p w14:paraId="7784DB26">
      <w:pPr>
        <w:ind w:firstLine="560"/>
        <w:rPr>
          <w:rFonts w:ascii="Times New Roman" w:hAnsi="Times New Roman" w:eastAsia="仿宋"/>
          <w:color w:val="auto"/>
          <w:highlight w:val="none"/>
        </w:rPr>
      </w:pPr>
      <w:r>
        <w:rPr>
          <w:rFonts w:ascii="Times New Roman" w:hAnsi="Times New Roman" w:eastAsia="仿宋"/>
          <w:color w:val="auto"/>
          <w:highlight w:val="none"/>
        </w:rPr>
        <w:t>（一）不同供应商编制的参选文件存在两处以上错漏一致的；</w:t>
      </w:r>
    </w:p>
    <w:p w14:paraId="3ED84A99">
      <w:pPr>
        <w:ind w:firstLine="560"/>
        <w:rPr>
          <w:rFonts w:ascii="Times New Roman" w:hAnsi="Times New Roman" w:eastAsia="仿宋"/>
          <w:color w:val="auto"/>
          <w:highlight w:val="none"/>
        </w:rPr>
      </w:pPr>
      <w:r>
        <w:rPr>
          <w:rFonts w:ascii="Times New Roman" w:hAnsi="Times New Roman" w:eastAsia="仿宋"/>
          <w:color w:val="auto"/>
          <w:highlight w:val="none"/>
        </w:rPr>
        <w:t>（二）不同供应商的参选文件相互混装的；</w:t>
      </w:r>
    </w:p>
    <w:p w14:paraId="0AB2AAEC">
      <w:pPr>
        <w:ind w:firstLine="560"/>
        <w:rPr>
          <w:rFonts w:ascii="Times New Roman" w:hAnsi="Times New Roman" w:eastAsia="仿宋"/>
          <w:color w:val="auto"/>
          <w:highlight w:val="none"/>
        </w:rPr>
      </w:pPr>
      <w:r>
        <w:rPr>
          <w:rFonts w:ascii="Times New Roman" w:hAnsi="Times New Roman" w:eastAsia="仿宋"/>
          <w:color w:val="auto"/>
          <w:highlight w:val="none"/>
        </w:rPr>
        <w:t>（三）参加比选活动的人员为同一采购其他供应商在职人员的。</w:t>
      </w:r>
    </w:p>
    <w:p w14:paraId="0353E353">
      <w:pPr>
        <w:ind w:firstLine="560"/>
        <w:rPr>
          <w:rFonts w:ascii="Times New Roman" w:hAnsi="Times New Roman" w:eastAsia="仿宋"/>
          <w:color w:val="auto"/>
          <w:highlight w:val="none"/>
        </w:rPr>
      </w:pPr>
      <w:r>
        <w:rPr>
          <w:rFonts w:ascii="Times New Roman" w:hAnsi="Times New Roman" w:eastAsia="仿宋"/>
          <w:color w:val="auto"/>
          <w:highlight w:val="none"/>
        </w:rPr>
        <w:t>（四）不同供应商委托同一人办理比选事宜的或不同供应商与同一供应商联合比选的；</w:t>
      </w:r>
    </w:p>
    <w:p w14:paraId="4444947C">
      <w:pPr>
        <w:ind w:firstLine="560"/>
        <w:rPr>
          <w:rFonts w:ascii="Times New Roman" w:hAnsi="Times New Roman" w:eastAsia="仿宋"/>
          <w:color w:val="auto"/>
          <w:highlight w:val="none"/>
        </w:rPr>
      </w:pPr>
      <w:r>
        <w:rPr>
          <w:rFonts w:ascii="Times New Roman" w:hAnsi="Times New Roman" w:eastAsia="仿宋"/>
          <w:color w:val="auto"/>
          <w:highlight w:val="none"/>
        </w:rPr>
        <w:t>（五）不同供应商的参选文件载明的项目管理班子成员出现同一人的</w:t>
      </w:r>
    </w:p>
    <w:p w14:paraId="16012EC5">
      <w:pPr>
        <w:ind w:firstLine="560"/>
        <w:rPr>
          <w:rFonts w:ascii="Times New Roman" w:hAnsi="Times New Roman" w:eastAsia="仿宋"/>
          <w:color w:val="auto"/>
          <w:highlight w:val="none"/>
        </w:rPr>
      </w:pPr>
      <w:r>
        <w:rPr>
          <w:rFonts w:ascii="Times New Roman" w:hAnsi="Times New Roman" w:eastAsia="仿宋"/>
          <w:color w:val="auto"/>
          <w:highlight w:val="none"/>
        </w:rPr>
        <w:t>（六）法律法规、规章规定的其他视为相互串通比选的行为。</w:t>
      </w:r>
    </w:p>
    <w:p w14:paraId="466BFE41">
      <w:pPr>
        <w:pStyle w:val="4"/>
        <w:adjustRightInd w:val="0"/>
        <w:snapToGrid w:val="0"/>
        <w:ind w:firstLine="560"/>
        <w:jc w:val="left"/>
        <w:rPr>
          <w:rFonts w:ascii="Times New Roman" w:hAnsi="Times New Roman" w:eastAsia="方正黑体_GBK"/>
          <w:color w:val="auto"/>
          <w:szCs w:val="20"/>
          <w:highlight w:val="none"/>
        </w:rPr>
      </w:pPr>
      <w:bookmarkStart w:id="119" w:name="_Toc11645"/>
      <w:bookmarkStart w:id="120" w:name="_Toc26929"/>
      <w:bookmarkStart w:id="121" w:name="_Toc16223"/>
      <w:bookmarkStart w:id="122" w:name="_Toc23870"/>
      <w:bookmarkStart w:id="123" w:name="_Toc105081926"/>
      <w:r>
        <w:rPr>
          <w:rFonts w:hint="eastAsia" w:ascii="Times New Roman" w:hAnsi="Times New Roman" w:eastAsia="方正黑体_GBK" w:cs="Times New Roman"/>
          <w:color w:val="auto"/>
          <w:sz w:val="28"/>
          <w:szCs w:val="20"/>
          <w:highlight w:val="none"/>
        </w:rPr>
        <w:t>四、采购终止</w:t>
      </w:r>
      <w:bookmarkEnd w:id="119"/>
      <w:bookmarkEnd w:id="120"/>
      <w:bookmarkEnd w:id="121"/>
      <w:bookmarkEnd w:id="122"/>
      <w:bookmarkEnd w:id="123"/>
    </w:p>
    <w:p w14:paraId="3805D06A">
      <w:pPr>
        <w:ind w:firstLine="560"/>
        <w:rPr>
          <w:rFonts w:ascii="Times New Roman" w:hAnsi="Times New Roman" w:eastAsia="仿宋"/>
          <w:color w:val="auto"/>
          <w:highlight w:val="none"/>
        </w:rPr>
      </w:pPr>
      <w:r>
        <w:rPr>
          <w:rFonts w:ascii="Times New Roman" w:hAnsi="Times New Roman" w:eastAsia="仿宋"/>
          <w:color w:val="auto"/>
          <w:highlight w:val="none"/>
        </w:rPr>
        <w:t>出现以下情况之一的，应予终止采购：</w:t>
      </w:r>
    </w:p>
    <w:p w14:paraId="52195350">
      <w:pPr>
        <w:ind w:firstLine="560"/>
        <w:rPr>
          <w:rFonts w:ascii="Times New Roman" w:hAnsi="Times New Roman" w:eastAsia="仿宋"/>
          <w:color w:val="auto"/>
          <w:highlight w:val="none"/>
        </w:rPr>
      </w:pPr>
      <w:r>
        <w:rPr>
          <w:rFonts w:ascii="Times New Roman" w:hAnsi="Times New Roman" w:eastAsia="仿宋"/>
          <w:color w:val="auto"/>
          <w:highlight w:val="none"/>
        </w:rPr>
        <w:t>（一）供应商的报价均超过了最高限价，采购人不能支付的；</w:t>
      </w:r>
    </w:p>
    <w:p w14:paraId="309E17FA">
      <w:pPr>
        <w:ind w:firstLine="560"/>
        <w:rPr>
          <w:rFonts w:ascii="Times New Roman" w:hAnsi="Times New Roman" w:eastAsia="仿宋"/>
          <w:color w:val="auto"/>
          <w:highlight w:val="none"/>
        </w:rPr>
      </w:pPr>
      <w:r>
        <w:rPr>
          <w:rFonts w:ascii="Times New Roman" w:hAnsi="Times New Roman" w:eastAsia="仿宋"/>
          <w:color w:val="auto"/>
          <w:highlight w:val="none"/>
        </w:rPr>
        <w:t>（二）出现影响采购公正的违法、违规行为的；</w:t>
      </w:r>
    </w:p>
    <w:p w14:paraId="3C0AAB96">
      <w:pPr>
        <w:ind w:firstLine="560"/>
        <w:rPr>
          <w:rFonts w:ascii="Times New Roman" w:hAnsi="Times New Roman" w:eastAsia="仿宋"/>
          <w:color w:val="auto"/>
          <w:highlight w:val="none"/>
        </w:rPr>
      </w:pPr>
      <w:r>
        <w:rPr>
          <w:rFonts w:ascii="Times New Roman" w:hAnsi="Times New Roman" w:eastAsia="仿宋"/>
          <w:color w:val="auto"/>
          <w:highlight w:val="none"/>
        </w:rPr>
        <w:t>（三）因重大变故，采购任务取消的。</w:t>
      </w:r>
    </w:p>
    <w:p w14:paraId="00656433">
      <w:pPr>
        <w:snapToGrid w:val="0"/>
        <w:ind w:firstLine="560"/>
        <w:rPr>
          <w:rFonts w:ascii="Times New Roman" w:hAnsi="Times New Roman" w:eastAsia="仿宋"/>
          <w:color w:val="auto"/>
          <w:highlight w:val="none"/>
        </w:rPr>
      </w:pPr>
      <w:r>
        <w:rPr>
          <w:rFonts w:ascii="Times New Roman" w:hAnsi="Times New Roman" w:eastAsia="仿宋"/>
          <w:color w:val="auto"/>
          <w:highlight w:val="none"/>
        </w:rPr>
        <w:t>终止后，除采购任务取消情形外，应当重新组织采购。</w:t>
      </w:r>
      <w:bookmarkStart w:id="124" w:name="_Toc20304"/>
    </w:p>
    <w:p w14:paraId="4CC1AFAD">
      <w:pPr>
        <w:pStyle w:val="2"/>
        <w:ind w:firstLine="480"/>
        <w:rPr>
          <w:highlight w:val="none"/>
        </w:rPr>
      </w:pPr>
    </w:p>
    <w:p w14:paraId="3D7D4DB3">
      <w:pPr>
        <w:ind w:firstLine="560"/>
        <w:rPr>
          <w:highlight w:val="none"/>
        </w:rPr>
      </w:pPr>
    </w:p>
    <w:p w14:paraId="0B1AA9B1">
      <w:pPr>
        <w:pStyle w:val="2"/>
        <w:ind w:firstLine="480"/>
        <w:rPr>
          <w:highlight w:val="none"/>
        </w:rPr>
      </w:pPr>
    </w:p>
    <w:p w14:paraId="18ECA0BA">
      <w:pPr>
        <w:ind w:firstLine="560"/>
        <w:rPr>
          <w:highlight w:val="none"/>
        </w:rPr>
      </w:pPr>
    </w:p>
    <w:p w14:paraId="48DEC69A">
      <w:pPr>
        <w:pStyle w:val="2"/>
        <w:ind w:firstLine="480"/>
        <w:rPr>
          <w:highlight w:val="none"/>
        </w:rPr>
      </w:pPr>
    </w:p>
    <w:p w14:paraId="2575E347">
      <w:pPr>
        <w:ind w:firstLine="560"/>
        <w:rPr>
          <w:highlight w:val="none"/>
        </w:rPr>
      </w:pPr>
    </w:p>
    <w:p w14:paraId="369CF2C2">
      <w:pPr>
        <w:pStyle w:val="2"/>
        <w:ind w:firstLine="480"/>
        <w:rPr>
          <w:highlight w:val="none"/>
        </w:rPr>
      </w:pPr>
    </w:p>
    <w:p w14:paraId="3E19DFC2">
      <w:pPr>
        <w:ind w:firstLine="560"/>
        <w:rPr>
          <w:highlight w:val="none"/>
        </w:rPr>
      </w:pPr>
    </w:p>
    <w:p w14:paraId="01A9E2CF">
      <w:pPr>
        <w:pStyle w:val="2"/>
        <w:ind w:firstLine="480"/>
        <w:rPr>
          <w:highlight w:val="none"/>
        </w:rPr>
      </w:pPr>
    </w:p>
    <w:p w14:paraId="6D6EBDB1">
      <w:pPr>
        <w:ind w:firstLine="560"/>
        <w:rPr>
          <w:highlight w:val="none"/>
        </w:rPr>
      </w:pPr>
    </w:p>
    <w:p w14:paraId="4C702CBB">
      <w:pPr>
        <w:pStyle w:val="2"/>
        <w:ind w:firstLine="480"/>
        <w:rPr>
          <w:highlight w:val="none"/>
        </w:rPr>
      </w:pPr>
    </w:p>
    <w:p w14:paraId="0670E9DD">
      <w:pPr>
        <w:ind w:firstLine="560"/>
        <w:rPr>
          <w:highlight w:val="none"/>
        </w:rPr>
      </w:pPr>
    </w:p>
    <w:p w14:paraId="58875B7D">
      <w:pPr>
        <w:ind w:left="0" w:leftChars="0" w:firstLine="0" w:firstLineChars="0"/>
        <w:rPr>
          <w:highlight w:val="none"/>
        </w:rPr>
      </w:pPr>
    </w:p>
    <w:p w14:paraId="5BCDB615">
      <w:pPr>
        <w:pStyle w:val="3"/>
        <w:spacing w:before="0" w:after="0" w:line="240" w:lineRule="auto"/>
        <w:ind w:firstLine="643" w:firstLineChars="0"/>
        <w:jc w:val="center"/>
        <w:rPr>
          <w:rFonts w:ascii="Times New Roman" w:hAnsi="Times New Roman" w:eastAsia="方正小标宋_GBK" w:cs="Times New Roman"/>
          <w:b/>
          <w:bCs/>
          <w:color w:val="auto"/>
          <w:kern w:val="44"/>
          <w:sz w:val="32"/>
          <w:szCs w:val="44"/>
          <w:highlight w:val="none"/>
        </w:rPr>
      </w:pPr>
      <w:bookmarkStart w:id="125" w:name="_Toc10867"/>
      <w:bookmarkStart w:id="126" w:name="_Toc22128"/>
      <w:bookmarkStart w:id="127" w:name="_Toc24434"/>
      <w:bookmarkStart w:id="128" w:name="_Toc16428"/>
      <w:bookmarkStart w:id="129" w:name="_Toc105081913"/>
      <w:bookmarkStart w:id="130" w:name="_Toc19626"/>
      <w:bookmarkStart w:id="131" w:name="_Toc194572019"/>
      <w:bookmarkStart w:id="132" w:name="_Toc20103"/>
      <w:r>
        <w:rPr>
          <w:rFonts w:ascii="Times New Roman" w:hAnsi="Times New Roman" w:eastAsia="方正小标宋_GBK" w:cs="Times New Roman"/>
          <w:b/>
          <w:bCs/>
          <w:color w:val="auto"/>
          <w:kern w:val="44"/>
          <w:sz w:val="32"/>
          <w:szCs w:val="44"/>
          <w:highlight w:val="none"/>
        </w:rPr>
        <w:t>第五篇  比选须知</w:t>
      </w:r>
      <w:bookmarkEnd w:id="125"/>
      <w:bookmarkEnd w:id="126"/>
      <w:bookmarkEnd w:id="127"/>
      <w:bookmarkEnd w:id="128"/>
      <w:bookmarkEnd w:id="129"/>
      <w:bookmarkEnd w:id="130"/>
      <w:bookmarkEnd w:id="131"/>
      <w:bookmarkEnd w:id="132"/>
    </w:p>
    <w:p w14:paraId="7DCF1E24">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33" w:name="_Toc105081914"/>
      <w:bookmarkStart w:id="134" w:name="_Toc30256"/>
      <w:bookmarkStart w:id="135" w:name="_Toc27793"/>
      <w:bookmarkStart w:id="136" w:name="_Toc5336"/>
      <w:bookmarkStart w:id="137" w:name="_Toc8248"/>
      <w:bookmarkStart w:id="138" w:name="_Toc9764"/>
      <w:bookmarkStart w:id="139" w:name="_Hlk11542482"/>
      <w:r>
        <w:rPr>
          <w:rFonts w:ascii="Times New Roman" w:hAnsi="Times New Roman" w:eastAsia="方正黑体_GBK" w:cs="Times New Roman"/>
          <w:color w:val="auto"/>
          <w:sz w:val="28"/>
          <w:szCs w:val="20"/>
          <w:highlight w:val="none"/>
        </w:rPr>
        <w:t>一、比选有关规定</w:t>
      </w:r>
      <w:bookmarkEnd w:id="133"/>
      <w:bookmarkEnd w:id="134"/>
      <w:bookmarkEnd w:id="135"/>
      <w:bookmarkEnd w:id="136"/>
      <w:bookmarkEnd w:id="137"/>
      <w:bookmarkEnd w:id="138"/>
    </w:p>
    <w:p w14:paraId="0DC4351B">
      <w:pPr>
        <w:ind w:firstLine="560"/>
        <w:rPr>
          <w:rFonts w:ascii="Times New Roman" w:hAnsi="Times New Roman" w:eastAsia="仿宋"/>
          <w:color w:val="auto"/>
          <w:highlight w:val="none"/>
        </w:rPr>
      </w:pPr>
      <w:r>
        <w:rPr>
          <w:rFonts w:ascii="Times New Roman" w:hAnsi="Times New Roman" w:eastAsia="仿宋"/>
          <w:color w:val="auto"/>
          <w:highlight w:val="none"/>
        </w:rPr>
        <w:t>（一）单位负责人为同一人或者存在直接控股、管理关系的不同供应商，不得参加同一比选项目比选。</w:t>
      </w:r>
    </w:p>
    <w:p w14:paraId="3B36012F">
      <w:pPr>
        <w:ind w:firstLine="560"/>
        <w:rPr>
          <w:rFonts w:ascii="Times New Roman" w:hAnsi="Times New Roman" w:eastAsia="仿宋"/>
          <w:color w:val="auto"/>
          <w:highlight w:val="none"/>
        </w:rPr>
      </w:pPr>
      <w:r>
        <w:rPr>
          <w:rFonts w:ascii="Times New Roman" w:hAnsi="Times New Roman" w:eastAsia="仿宋"/>
          <w:color w:val="auto"/>
          <w:highlight w:val="none"/>
        </w:rPr>
        <w:t>（二）不接收超过比选截止时间递交的参选文件。</w:t>
      </w:r>
    </w:p>
    <w:p w14:paraId="21D840A4">
      <w:pPr>
        <w:ind w:firstLine="560"/>
        <w:rPr>
          <w:rFonts w:ascii="Times New Roman" w:hAnsi="Times New Roman" w:eastAsia="仿宋"/>
          <w:color w:val="auto"/>
          <w:highlight w:val="none"/>
        </w:rPr>
      </w:pPr>
      <w:r>
        <w:rPr>
          <w:rFonts w:ascii="Times New Roman" w:hAnsi="Times New Roman" w:eastAsia="仿宋"/>
          <w:color w:val="auto"/>
          <w:highlight w:val="none"/>
        </w:rPr>
        <w:t>（三）本项目不接受联合体比选。</w:t>
      </w:r>
    </w:p>
    <w:p w14:paraId="0034A1E2">
      <w:pPr>
        <w:ind w:firstLine="560"/>
        <w:rPr>
          <w:rFonts w:ascii="Times New Roman" w:hAnsi="Times New Roman" w:eastAsia="仿宋"/>
          <w:color w:val="auto"/>
          <w:highlight w:val="none"/>
        </w:rPr>
      </w:pPr>
      <w:r>
        <w:rPr>
          <w:rFonts w:ascii="Times New Roman" w:hAnsi="Times New Roman" w:eastAsia="仿宋"/>
          <w:color w:val="auto"/>
          <w:highlight w:val="none"/>
        </w:rPr>
        <w:t>（四）无论比选结果如何，供应商参与本项目比选的所有费用均应由供应商自行承担。</w:t>
      </w:r>
    </w:p>
    <w:p w14:paraId="7E330775">
      <w:pPr>
        <w:ind w:firstLine="560"/>
        <w:rPr>
          <w:rFonts w:ascii="Times New Roman" w:hAnsi="Times New Roman" w:eastAsia="仿宋"/>
          <w:color w:val="auto"/>
          <w:highlight w:val="none"/>
        </w:rPr>
      </w:pPr>
      <w:r>
        <w:rPr>
          <w:rFonts w:ascii="Times New Roman" w:hAnsi="Times New Roman" w:eastAsia="仿宋"/>
          <w:color w:val="auto"/>
          <w:highlight w:val="none"/>
        </w:rPr>
        <w:t>（五）</w:t>
      </w:r>
      <w:bookmarkStart w:id="140" w:name="OLE_LINK1"/>
      <w:bookmarkStart w:id="141" w:name="OLE_LINK2"/>
      <w:r>
        <w:rPr>
          <w:rFonts w:ascii="Times New Roman" w:hAnsi="Times New Roman" w:eastAsia="仿宋"/>
          <w:color w:val="auto"/>
          <w:highlight w:val="none"/>
        </w:rPr>
        <w:t>供应商列入失信被执行人、重大税收违法案件当事人名单、政府采购严重违法失信行为记录名单及其他不符合《中华人民共和国政府采购法》第二十二条规定条件的</w:t>
      </w:r>
      <w:bookmarkEnd w:id="140"/>
      <w:bookmarkEnd w:id="141"/>
      <w:r>
        <w:rPr>
          <w:rFonts w:ascii="Times New Roman" w:hAnsi="Times New Roman" w:eastAsia="仿宋"/>
          <w:color w:val="auto"/>
          <w:highlight w:val="none"/>
        </w:rPr>
        <w:t>供应商，不得参与本次采购活动。</w:t>
      </w:r>
    </w:p>
    <w:p w14:paraId="06B201BB">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42" w:name="_Toc638"/>
      <w:bookmarkStart w:id="143" w:name="_Toc31239"/>
      <w:bookmarkStart w:id="144" w:name="_Toc105081915"/>
      <w:bookmarkStart w:id="145" w:name="_Toc18478"/>
      <w:bookmarkStart w:id="146" w:name="_Toc4901"/>
      <w:r>
        <w:rPr>
          <w:rFonts w:ascii="Times New Roman" w:hAnsi="Times New Roman" w:eastAsia="方正黑体_GBK" w:cs="Times New Roman"/>
          <w:color w:val="auto"/>
          <w:sz w:val="28"/>
          <w:szCs w:val="20"/>
          <w:highlight w:val="none"/>
        </w:rPr>
        <w:t>二、比选文件</w:t>
      </w:r>
      <w:bookmarkEnd w:id="142"/>
      <w:bookmarkEnd w:id="143"/>
      <w:bookmarkEnd w:id="144"/>
      <w:bookmarkEnd w:id="145"/>
      <w:bookmarkEnd w:id="146"/>
    </w:p>
    <w:p w14:paraId="75F905EC">
      <w:pPr>
        <w:ind w:firstLine="560"/>
        <w:rPr>
          <w:rFonts w:ascii="Times New Roman" w:hAnsi="Times New Roman" w:eastAsia="仿宋"/>
          <w:color w:val="auto"/>
          <w:highlight w:val="none"/>
        </w:rPr>
      </w:pPr>
      <w:r>
        <w:rPr>
          <w:rFonts w:ascii="Times New Roman" w:hAnsi="Times New Roman" w:eastAsia="仿宋"/>
          <w:color w:val="auto"/>
          <w:highlight w:val="none"/>
        </w:rPr>
        <w:t>比选文件是供应商编制参选文件的依据，是评选小组评判依据和标准。比选文件也是采购人与中选供应商签订合同的基础。</w:t>
      </w:r>
    </w:p>
    <w:p w14:paraId="6D652844">
      <w:pPr>
        <w:ind w:firstLine="560"/>
        <w:rPr>
          <w:rFonts w:ascii="Times New Roman" w:hAnsi="Times New Roman" w:eastAsia="仿宋"/>
          <w:color w:val="auto"/>
          <w:highlight w:val="none"/>
        </w:rPr>
      </w:pPr>
      <w:r>
        <w:rPr>
          <w:rFonts w:ascii="Times New Roman" w:hAnsi="Times New Roman" w:eastAsia="仿宋"/>
          <w:color w:val="auto"/>
          <w:highlight w:val="none"/>
        </w:rPr>
        <w:t>（一）比选文件由比选邀请书、项目服务需求、项目商务要求、供应商须知、资格审查及评标办法、合同主要条款和格式合同、参选文件编制要求等七部分组成。</w:t>
      </w:r>
    </w:p>
    <w:p w14:paraId="5CC6AA85">
      <w:pPr>
        <w:ind w:firstLine="560"/>
        <w:rPr>
          <w:rFonts w:ascii="Times New Roman" w:hAnsi="Times New Roman" w:eastAsia="仿宋"/>
          <w:color w:val="auto"/>
          <w:highlight w:val="none"/>
        </w:rPr>
      </w:pPr>
      <w:r>
        <w:rPr>
          <w:rFonts w:ascii="Times New Roman" w:hAnsi="Times New Roman" w:eastAsia="仿宋"/>
          <w:color w:val="auto"/>
          <w:highlight w:val="none"/>
        </w:rPr>
        <w:t>（二）采购人对比选文件所作的一切有效的书面通知、修改及补充，都是比选文件不可分割的部分。</w:t>
      </w:r>
    </w:p>
    <w:p w14:paraId="4C8886DC">
      <w:pPr>
        <w:ind w:firstLine="560"/>
        <w:rPr>
          <w:rFonts w:ascii="Times New Roman" w:hAnsi="Times New Roman" w:eastAsia="仿宋"/>
          <w:color w:val="auto"/>
          <w:highlight w:val="none"/>
        </w:rPr>
      </w:pPr>
      <w:r>
        <w:rPr>
          <w:rFonts w:ascii="Times New Roman" w:hAnsi="Times New Roman" w:eastAsia="仿宋"/>
          <w:color w:val="auto"/>
          <w:highlight w:val="none"/>
        </w:rPr>
        <w:t>（三）评审的依据为竞争性比选文件和参选文件（含有效的书面承诺）。比选小组判断参选文件对竞争性比选文件的响应，仅基于参选文件本身而不靠外部证据。</w:t>
      </w:r>
    </w:p>
    <w:p w14:paraId="2CAA77E5">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47" w:name="_Toc4820"/>
      <w:bookmarkStart w:id="148" w:name="_Toc105081916"/>
      <w:bookmarkStart w:id="149" w:name="_Toc11326"/>
      <w:bookmarkStart w:id="150" w:name="_Toc25936"/>
      <w:bookmarkStart w:id="151" w:name="_Toc784"/>
      <w:r>
        <w:rPr>
          <w:rFonts w:ascii="Times New Roman" w:hAnsi="Times New Roman" w:eastAsia="方正黑体_GBK" w:cs="Times New Roman"/>
          <w:color w:val="auto"/>
          <w:sz w:val="28"/>
          <w:szCs w:val="20"/>
          <w:highlight w:val="none"/>
        </w:rPr>
        <w:t>三、比选要求</w:t>
      </w:r>
      <w:bookmarkEnd w:id="147"/>
      <w:bookmarkEnd w:id="148"/>
      <w:bookmarkEnd w:id="149"/>
      <w:bookmarkEnd w:id="150"/>
      <w:bookmarkEnd w:id="151"/>
    </w:p>
    <w:p w14:paraId="22C65B18">
      <w:pPr>
        <w:ind w:firstLine="560"/>
        <w:rPr>
          <w:rFonts w:ascii="Times New Roman" w:hAnsi="Times New Roman" w:eastAsia="仿宋"/>
          <w:color w:val="auto"/>
          <w:highlight w:val="none"/>
        </w:rPr>
      </w:pPr>
      <w:r>
        <w:rPr>
          <w:rFonts w:ascii="Times New Roman" w:hAnsi="Times New Roman" w:eastAsia="仿宋"/>
          <w:color w:val="auto"/>
          <w:highlight w:val="none"/>
        </w:rPr>
        <w:t>（一）参选文件</w:t>
      </w:r>
    </w:p>
    <w:p w14:paraId="2EA16576">
      <w:pPr>
        <w:ind w:firstLine="560"/>
        <w:rPr>
          <w:rFonts w:ascii="Times New Roman" w:hAnsi="Times New Roman" w:eastAsia="仿宋"/>
          <w:color w:val="auto"/>
          <w:szCs w:val="28"/>
          <w:highlight w:val="none"/>
        </w:rPr>
      </w:pPr>
      <w:r>
        <w:rPr>
          <w:rFonts w:ascii="Times New Roman" w:hAnsi="Times New Roman" w:eastAsia="仿宋"/>
          <w:color w:val="auto"/>
          <w:szCs w:val="28"/>
          <w:highlight w:val="none"/>
        </w:rPr>
        <w:t>1.供应商应当按照竞争性比选文件的要求编制参选文件，并对竞争性比选文件提出的要求和条件作出实质性响应，参选文件原则上采用软面订本，同时应编制完整的页码、目录。</w:t>
      </w:r>
    </w:p>
    <w:p w14:paraId="00BE2D1F">
      <w:pPr>
        <w:ind w:firstLine="560"/>
        <w:rPr>
          <w:rFonts w:ascii="Times New Roman" w:hAnsi="Times New Roman" w:eastAsia="仿宋"/>
          <w:color w:val="auto"/>
          <w:szCs w:val="28"/>
          <w:highlight w:val="none"/>
        </w:rPr>
      </w:pPr>
      <w:r>
        <w:rPr>
          <w:rFonts w:ascii="Times New Roman" w:hAnsi="Times New Roman" w:eastAsia="仿宋"/>
          <w:color w:val="auto"/>
          <w:szCs w:val="28"/>
          <w:highlight w:val="none"/>
        </w:rPr>
        <w:t>2.参选文件的组成</w:t>
      </w:r>
    </w:p>
    <w:p w14:paraId="1AD5BC28">
      <w:pPr>
        <w:ind w:firstLine="560"/>
        <w:rPr>
          <w:rFonts w:ascii="Times New Roman" w:hAnsi="Times New Roman" w:eastAsia="仿宋"/>
          <w:color w:val="auto"/>
          <w:szCs w:val="28"/>
          <w:highlight w:val="none"/>
        </w:rPr>
      </w:pPr>
      <w:r>
        <w:rPr>
          <w:rFonts w:ascii="Times New Roman" w:hAnsi="Times New Roman" w:eastAsia="仿宋"/>
          <w:color w:val="auto"/>
          <w:szCs w:val="28"/>
          <w:highlight w:val="none"/>
        </w:rPr>
        <w:t>参选文件由第七篇“参选文件编制要求”规定的部分和供应商所作的一切有效补充、修改和承诺等文件组成，供应商应按照第七篇“参选文件编制要求”规定的目录顺序组织编写和装订，否则有可能影响评委对参选文件的评审。也可在基本格式基础上对表格进行扩展，未规定格式的由供应商自定格式。</w:t>
      </w:r>
    </w:p>
    <w:p w14:paraId="149FFF5C">
      <w:pPr>
        <w:ind w:firstLine="560"/>
        <w:rPr>
          <w:rFonts w:ascii="Times New Roman" w:hAnsi="Times New Roman" w:eastAsia="仿宋"/>
          <w:color w:val="auto"/>
          <w:highlight w:val="none"/>
        </w:rPr>
      </w:pPr>
      <w:r>
        <w:rPr>
          <w:rFonts w:ascii="Times New Roman" w:hAnsi="Times New Roman" w:eastAsia="仿宋"/>
          <w:color w:val="auto"/>
          <w:highlight w:val="none"/>
        </w:rPr>
        <w:t>（二）比选有效期</w:t>
      </w:r>
    </w:p>
    <w:p w14:paraId="59142D92">
      <w:pPr>
        <w:ind w:firstLine="560"/>
        <w:rPr>
          <w:rFonts w:ascii="Times New Roman" w:hAnsi="Times New Roman" w:eastAsia="仿宋"/>
          <w:color w:val="auto"/>
          <w:highlight w:val="none"/>
        </w:rPr>
      </w:pPr>
      <w:r>
        <w:rPr>
          <w:rFonts w:ascii="Times New Roman" w:hAnsi="Times New Roman" w:eastAsia="仿宋"/>
          <w:color w:val="auto"/>
          <w:highlight w:val="none"/>
        </w:rPr>
        <w:t>参选文件及有关承诺文件有效期为提交参选文件截止时间起90天。</w:t>
      </w:r>
    </w:p>
    <w:p w14:paraId="7625249F">
      <w:pPr>
        <w:ind w:firstLine="560"/>
        <w:rPr>
          <w:rFonts w:ascii="Times New Roman" w:hAnsi="Times New Roman" w:eastAsia="仿宋"/>
          <w:color w:val="auto"/>
          <w:highlight w:val="none"/>
        </w:rPr>
      </w:pPr>
      <w:r>
        <w:rPr>
          <w:rFonts w:ascii="Times New Roman" w:hAnsi="Times New Roman" w:eastAsia="仿宋"/>
          <w:color w:val="auto"/>
          <w:highlight w:val="none"/>
        </w:rPr>
        <w:t>（三）参选文件的份数和签署</w:t>
      </w:r>
    </w:p>
    <w:p w14:paraId="09FAE38C">
      <w:pPr>
        <w:ind w:firstLine="560"/>
        <w:rPr>
          <w:rFonts w:ascii="Times New Roman" w:hAnsi="Times New Roman" w:eastAsia="仿宋"/>
          <w:color w:val="auto"/>
          <w:highlight w:val="none"/>
        </w:rPr>
      </w:pPr>
      <w:r>
        <w:rPr>
          <w:rFonts w:ascii="Times New Roman" w:hAnsi="Times New Roman" w:eastAsia="仿宋"/>
          <w:color w:val="auto"/>
          <w:highlight w:val="none"/>
        </w:rPr>
        <w:t>1.参选文件份数。正本1份，副本</w:t>
      </w:r>
      <w:r>
        <w:rPr>
          <w:rFonts w:hint="eastAsia" w:ascii="Times New Roman" w:hAnsi="Times New Roman" w:eastAsia="仿宋"/>
          <w:color w:val="auto"/>
          <w:highlight w:val="none"/>
        </w:rPr>
        <w:t>1</w:t>
      </w:r>
      <w:r>
        <w:rPr>
          <w:rFonts w:ascii="Times New Roman" w:hAnsi="Times New Roman" w:eastAsia="仿宋"/>
          <w:color w:val="auto"/>
          <w:highlight w:val="none"/>
        </w:rPr>
        <w:t>份，正、副本内容应完全一致，副本可以是正本的复印件，并在各参选文件封面上标注“正本”或“副本”字样。</w:t>
      </w:r>
    </w:p>
    <w:p w14:paraId="78F82808">
      <w:pPr>
        <w:ind w:firstLine="560"/>
        <w:rPr>
          <w:rFonts w:ascii="Times New Roman" w:hAnsi="Times New Roman" w:eastAsia="仿宋"/>
          <w:color w:val="auto"/>
          <w:highlight w:val="none"/>
        </w:rPr>
      </w:pPr>
      <w:r>
        <w:rPr>
          <w:rFonts w:ascii="Times New Roman" w:hAnsi="Times New Roman" w:eastAsia="仿宋"/>
          <w:color w:val="auto"/>
          <w:highlight w:val="none"/>
        </w:rPr>
        <w:t>2.在参选文件正本中，比选文件第七篇“参选文件编制要求”中规定签字、盖章的地方必须按其规定签字、盖章；</w:t>
      </w:r>
    </w:p>
    <w:p w14:paraId="6324A142">
      <w:pPr>
        <w:ind w:firstLine="560"/>
        <w:rPr>
          <w:rFonts w:ascii="Times New Roman" w:hAnsi="Times New Roman" w:eastAsia="仿宋"/>
          <w:color w:val="auto"/>
          <w:highlight w:val="none"/>
        </w:rPr>
      </w:pPr>
      <w:r>
        <w:rPr>
          <w:rFonts w:ascii="Times New Roman" w:hAnsi="Times New Roman" w:eastAsia="仿宋"/>
          <w:color w:val="auto"/>
          <w:highlight w:val="none"/>
        </w:rPr>
        <w:t>3.若供应商对参选文件的错处做必要修改，则应在修改处加盖供应商公章或由法定代表人或法定代表人授权代表签字确认；</w:t>
      </w:r>
    </w:p>
    <w:p w14:paraId="0F4B3F9D">
      <w:pPr>
        <w:ind w:firstLine="560"/>
        <w:rPr>
          <w:rFonts w:ascii="Times New Roman" w:hAnsi="Times New Roman" w:eastAsia="仿宋"/>
          <w:color w:val="auto"/>
          <w:highlight w:val="none"/>
        </w:rPr>
      </w:pPr>
      <w:r>
        <w:rPr>
          <w:rFonts w:ascii="Times New Roman" w:hAnsi="Times New Roman" w:eastAsia="仿宋"/>
          <w:color w:val="auto"/>
          <w:highlight w:val="none"/>
        </w:rPr>
        <w:t>4.参选文件应密封并在封签处加盖单位公章。</w:t>
      </w:r>
    </w:p>
    <w:p w14:paraId="54D42D52">
      <w:pPr>
        <w:ind w:firstLine="560"/>
        <w:rPr>
          <w:rFonts w:ascii="Times New Roman" w:hAnsi="Times New Roman" w:eastAsia="仿宋"/>
          <w:color w:val="auto"/>
          <w:highlight w:val="none"/>
        </w:rPr>
      </w:pPr>
      <w:r>
        <w:rPr>
          <w:rFonts w:ascii="Times New Roman" w:hAnsi="Times New Roman" w:eastAsia="仿宋"/>
          <w:color w:val="auto"/>
          <w:highlight w:val="none"/>
        </w:rPr>
        <w:t>（四）修正错误</w:t>
      </w:r>
    </w:p>
    <w:p w14:paraId="6ADB80F9">
      <w:pPr>
        <w:ind w:firstLine="560"/>
        <w:rPr>
          <w:rFonts w:ascii="Times New Roman" w:hAnsi="Times New Roman" w:eastAsia="仿宋"/>
          <w:color w:val="auto"/>
          <w:highlight w:val="none"/>
        </w:rPr>
      </w:pPr>
      <w:r>
        <w:rPr>
          <w:rFonts w:ascii="Times New Roman" w:hAnsi="Times New Roman" w:eastAsia="仿宋"/>
          <w:color w:val="auto"/>
          <w:highlight w:val="none"/>
        </w:rPr>
        <w:t>若参选文件出现计算或表达上的错误，修正错误的原则如下：</w:t>
      </w:r>
    </w:p>
    <w:p w14:paraId="01EFB6AA">
      <w:pPr>
        <w:ind w:firstLine="560"/>
        <w:rPr>
          <w:rFonts w:ascii="Times New Roman" w:hAnsi="Times New Roman" w:eastAsia="仿宋"/>
          <w:color w:val="auto"/>
          <w:highlight w:val="none"/>
        </w:rPr>
      </w:pPr>
      <w:r>
        <w:rPr>
          <w:rFonts w:ascii="Times New Roman" w:hAnsi="Times New Roman" w:eastAsia="仿宋"/>
          <w:color w:val="auto"/>
          <w:highlight w:val="none"/>
        </w:rPr>
        <w:t>1.参选文件中报价一览表（报价表）内容与参选文件中相应内容不一致的，以报价一览表（报价表）为准；</w:t>
      </w:r>
    </w:p>
    <w:p w14:paraId="643F41F1">
      <w:pPr>
        <w:ind w:firstLine="560"/>
        <w:rPr>
          <w:rFonts w:ascii="Times New Roman" w:hAnsi="Times New Roman" w:eastAsia="仿宋"/>
          <w:color w:val="auto"/>
          <w:highlight w:val="none"/>
        </w:rPr>
      </w:pPr>
      <w:r>
        <w:rPr>
          <w:rFonts w:ascii="Times New Roman" w:hAnsi="Times New Roman" w:eastAsia="仿宋"/>
          <w:color w:val="auto"/>
          <w:highlight w:val="none"/>
        </w:rPr>
        <w:t>2.大写金额和小写金额不一致的，以大写金额为准；</w:t>
      </w:r>
    </w:p>
    <w:p w14:paraId="69D19E81">
      <w:pPr>
        <w:ind w:firstLine="560"/>
        <w:rPr>
          <w:rFonts w:ascii="Times New Roman" w:hAnsi="Times New Roman" w:eastAsia="仿宋"/>
          <w:color w:val="auto"/>
          <w:highlight w:val="none"/>
        </w:rPr>
      </w:pPr>
      <w:r>
        <w:rPr>
          <w:rFonts w:ascii="Times New Roman" w:hAnsi="Times New Roman" w:eastAsia="仿宋"/>
          <w:color w:val="auto"/>
          <w:highlight w:val="none"/>
        </w:rPr>
        <w:t>3.单价金额小数点或者百分比有明显错位的，以开标一览表的总价为准，并修改单价；</w:t>
      </w:r>
    </w:p>
    <w:p w14:paraId="29BAB78C">
      <w:pPr>
        <w:ind w:firstLine="560"/>
        <w:rPr>
          <w:rFonts w:ascii="Times New Roman" w:hAnsi="Times New Roman" w:eastAsia="仿宋"/>
          <w:color w:val="auto"/>
          <w:highlight w:val="none"/>
        </w:rPr>
      </w:pPr>
      <w:r>
        <w:rPr>
          <w:rFonts w:ascii="Times New Roman" w:hAnsi="Times New Roman" w:eastAsia="仿宋"/>
          <w:color w:val="auto"/>
          <w:highlight w:val="none"/>
        </w:rPr>
        <w:t>4.总价金额与按单价汇总金额不一致的，以单价金额计算结果为准；</w:t>
      </w:r>
    </w:p>
    <w:p w14:paraId="7B2032EC">
      <w:pPr>
        <w:ind w:firstLine="560"/>
        <w:rPr>
          <w:rFonts w:ascii="Times New Roman" w:hAnsi="Times New Roman" w:eastAsia="仿宋"/>
          <w:color w:val="auto"/>
          <w:highlight w:val="none"/>
        </w:rPr>
      </w:pPr>
      <w:r>
        <w:rPr>
          <w:rFonts w:ascii="Times New Roman" w:hAnsi="Times New Roman" w:eastAsia="仿宋"/>
          <w:color w:val="auto"/>
          <w:highlight w:val="none"/>
        </w:rPr>
        <w:t>5.正本与副本不一致的，以正本为准。</w:t>
      </w:r>
    </w:p>
    <w:p w14:paraId="1D4E895D">
      <w:pPr>
        <w:ind w:firstLine="560"/>
        <w:rPr>
          <w:rFonts w:ascii="Times New Roman" w:hAnsi="Times New Roman" w:eastAsia="仿宋"/>
          <w:color w:val="auto"/>
          <w:highlight w:val="none"/>
        </w:rPr>
      </w:pPr>
      <w:r>
        <w:rPr>
          <w:rFonts w:ascii="Times New Roman" w:hAnsi="Times New Roman" w:eastAsia="仿宋"/>
          <w:color w:val="auto"/>
          <w:highlight w:val="none"/>
        </w:rPr>
        <w:t>评选小组按上述修正错误的原则及方法调整或修正供应商比选报价，若同时出现两种以上不一致的，按照前款规定的顺序修正</w:t>
      </w:r>
      <w:r>
        <w:rPr>
          <w:rFonts w:hint="eastAsia" w:ascii="Times New Roman" w:hAnsi="Times New Roman" w:eastAsia="仿宋"/>
          <w:color w:val="auto"/>
          <w:highlight w:val="none"/>
        </w:rPr>
        <w:t>，经</w:t>
      </w:r>
      <w:r>
        <w:rPr>
          <w:rFonts w:ascii="Times New Roman" w:hAnsi="Times New Roman" w:eastAsia="仿宋"/>
          <w:color w:val="auto"/>
          <w:highlight w:val="none"/>
        </w:rPr>
        <w:t>供应商同意并签字确认后，调整后的比选报价对供应商具有约束作用。如果供应商不接受修正后的报价，则其比选将作为无效比选处理。</w:t>
      </w:r>
    </w:p>
    <w:p w14:paraId="68F8718D">
      <w:pPr>
        <w:ind w:firstLine="560"/>
        <w:rPr>
          <w:rFonts w:ascii="Times New Roman" w:hAnsi="Times New Roman" w:eastAsia="仿宋"/>
          <w:color w:val="auto"/>
          <w:highlight w:val="none"/>
        </w:rPr>
      </w:pPr>
      <w:r>
        <w:rPr>
          <w:rFonts w:ascii="Times New Roman" w:hAnsi="Times New Roman" w:eastAsia="仿宋"/>
          <w:color w:val="auto"/>
          <w:highlight w:val="none"/>
        </w:rPr>
        <w:t>（五）参选文件的递交</w:t>
      </w:r>
    </w:p>
    <w:p w14:paraId="1E2913FA">
      <w:pPr>
        <w:ind w:firstLine="560"/>
        <w:rPr>
          <w:rFonts w:ascii="Times New Roman" w:hAnsi="Times New Roman" w:eastAsia="仿宋"/>
          <w:color w:val="auto"/>
          <w:highlight w:val="none"/>
        </w:rPr>
      </w:pPr>
      <w:r>
        <w:rPr>
          <w:rFonts w:ascii="Times New Roman" w:hAnsi="Times New Roman" w:eastAsia="仿宋"/>
          <w:color w:val="auto"/>
          <w:highlight w:val="none"/>
        </w:rPr>
        <w:t>1.凡符合本比选文件资质要求的供应商，应按要求编制好参选文件，并在规定的有效时间内递交到指定地点；</w:t>
      </w:r>
    </w:p>
    <w:p w14:paraId="28F02AEC">
      <w:pPr>
        <w:ind w:firstLine="560"/>
        <w:rPr>
          <w:rFonts w:ascii="Times New Roman" w:hAnsi="Times New Roman" w:eastAsia="仿宋"/>
          <w:color w:val="auto"/>
          <w:spacing w:val="-6"/>
          <w:highlight w:val="none"/>
        </w:rPr>
      </w:pPr>
      <w:r>
        <w:rPr>
          <w:rFonts w:ascii="Times New Roman" w:hAnsi="Times New Roman" w:eastAsia="仿宋"/>
          <w:color w:val="auto"/>
          <w:highlight w:val="none"/>
        </w:rPr>
        <w:t>2.采</w:t>
      </w:r>
      <w:r>
        <w:rPr>
          <w:rFonts w:ascii="Times New Roman" w:hAnsi="Times New Roman" w:eastAsia="仿宋"/>
          <w:color w:val="auto"/>
          <w:spacing w:val="-6"/>
          <w:highlight w:val="none"/>
        </w:rPr>
        <w:t>购人收到的参选文件，一律不予退还，作为采购档案资料存档备查。</w:t>
      </w:r>
    </w:p>
    <w:p w14:paraId="20AB760E">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52" w:name="_Toc24552"/>
      <w:bookmarkStart w:id="153" w:name="_Toc20231"/>
      <w:bookmarkStart w:id="154" w:name="_Toc10956"/>
      <w:bookmarkStart w:id="155" w:name="_Toc18156"/>
      <w:bookmarkStart w:id="156" w:name="_Toc105081917"/>
      <w:r>
        <w:rPr>
          <w:rFonts w:ascii="Times New Roman" w:hAnsi="Times New Roman" w:eastAsia="方正黑体_GBK" w:cs="Times New Roman"/>
          <w:color w:val="auto"/>
          <w:sz w:val="28"/>
          <w:szCs w:val="20"/>
          <w:highlight w:val="none"/>
        </w:rPr>
        <w:t>四、</w:t>
      </w:r>
      <w:bookmarkEnd w:id="152"/>
      <w:bookmarkEnd w:id="153"/>
      <w:bookmarkEnd w:id="154"/>
      <w:bookmarkEnd w:id="155"/>
      <w:bookmarkEnd w:id="156"/>
      <w:r>
        <w:rPr>
          <w:rFonts w:ascii="Times New Roman" w:hAnsi="Times New Roman" w:eastAsia="方正黑体_GBK" w:cs="Times New Roman"/>
          <w:color w:val="auto"/>
          <w:sz w:val="28"/>
          <w:szCs w:val="20"/>
          <w:highlight w:val="none"/>
        </w:rPr>
        <w:t>比选现场</w:t>
      </w:r>
    </w:p>
    <w:p w14:paraId="6CDCB426">
      <w:pPr>
        <w:ind w:firstLine="560"/>
        <w:rPr>
          <w:rFonts w:ascii="Times New Roman" w:hAnsi="Times New Roman" w:eastAsia="仿宋"/>
          <w:color w:val="auto"/>
          <w:highlight w:val="none"/>
        </w:rPr>
      </w:pPr>
      <w:r>
        <w:rPr>
          <w:rFonts w:ascii="Times New Roman" w:hAnsi="Times New Roman" w:eastAsia="仿宋"/>
          <w:color w:val="auto"/>
          <w:highlight w:val="none"/>
        </w:rPr>
        <w:t>（一）比选应当在比选文件中“比选邀请书”确定的时间和地点公开进行。</w:t>
      </w:r>
    </w:p>
    <w:p w14:paraId="69F8176E">
      <w:pPr>
        <w:ind w:firstLine="560"/>
        <w:rPr>
          <w:rFonts w:ascii="Times New Roman" w:hAnsi="Times New Roman" w:eastAsia="仿宋"/>
          <w:color w:val="auto"/>
          <w:highlight w:val="none"/>
        </w:rPr>
      </w:pPr>
      <w:r>
        <w:rPr>
          <w:rFonts w:ascii="Times New Roman" w:hAnsi="Times New Roman" w:eastAsia="仿宋"/>
          <w:color w:val="auto"/>
          <w:highlight w:val="none"/>
        </w:rPr>
        <w:t>（二）比选过程由采购人主持。</w:t>
      </w:r>
    </w:p>
    <w:p w14:paraId="6DA7BA17">
      <w:pPr>
        <w:ind w:firstLine="560"/>
        <w:rPr>
          <w:rFonts w:ascii="Times New Roman" w:hAnsi="Times New Roman" w:eastAsia="仿宋"/>
          <w:color w:val="auto"/>
          <w:highlight w:val="none"/>
        </w:rPr>
      </w:pPr>
      <w:r>
        <w:rPr>
          <w:rFonts w:ascii="Times New Roman" w:hAnsi="Times New Roman" w:eastAsia="仿宋"/>
          <w:color w:val="auto"/>
          <w:highlight w:val="none"/>
        </w:rPr>
        <w:t>（三）评选时，由供应商或者其推选的代表检查参选文件的密封情况，经确认密封完好的参选文件，由采购人当众拆封，宣读参选文件正本“报价函”的供应商名称和比选报价。</w:t>
      </w:r>
    </w:p>
    <w:p w14:paraId="569AEA1B">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57" w:name="_Toc105081918"/>
      <w:bookmarkStart w:id="158" w:name="_Toc12605"/>
      <w:bookmarkStart w:id="159" w:name="_Toc28547"/>
      <w:bookmarkStart w:id="160" w:name="_Toc2554"/>
      <w:bookmarkStart w:id="161" w:name="_Toc7106"/>
      <w:r>
        <w:rPr>
          <w:rFonts w:ascii="Times New Roman" w:hAnsi="Times New Roman" w:eastAsia="方正黑体_GBK" w:cs="Times New Roman"/>
          <w:color w:val="auto"/>
          <w:sz w:val="28"/>
          <w:szCs w:val="20"/>
          <w:highlight w:val="none"/>
        </w:rPr>
        <w:t>五、合格供应商条件</w:t>
      </w:r>
      <w:bookmarkEnd w:id="157"/>
      <w:bookmarkEnd w:id="158"/>
      <w:bookmarkEnd w:id="159"/>
      <w:bookmarkEnd w:id="160"/>
      <w:bookmarkEnd w:id="161"/>
    </w:p>
    <w:p w14:paraId="1014016D">
      <w:pPr>
        <w:pStyle w:val="11"/>
        <w:spacing w:line="579" w:lineRule="exact"/>
        <w:ind w:firstLine="560"/>
        <w:rPr>
          <w:rFonts w:ascii="Times New Roman" w:hAnsi="Times New Roman" w:eastAsia="仿宋" w:cs="Times New Roman"/>
          <w:color w:val="auto"/>
          <w:szCs w:val="24"/>
          <w:highlight w:val="none"/>
        </w:rPr>
      </w:pPr>
      <w:r>
        <w:rPr>
          <w:rFonts w:ascii="Times New Roman" w:hAnsi="Times New Roman" w:eastAsia="仿宋" w:cs="Times New Roman"/>
          <w:color w:val="auto"/>
          <w:szCs w:val="24"/>
          <w:highlight w:val="none"/>
        </w:rPr>
        <w:t>合格供应商应完全符合比选文件第一篇中规定的供应商资格条件，并对比选文件作出实质性响应。供应商没有按照比选文件要求</w:t>
      </w:r>
      <w:bookmarkStart w:id="162" w:name="_Hlk11541567"/>
      <w:r>
        <w:rPr>
          <w:rFonts w:ascii="Times New Roman" w:hAnsi="Times New Roman" w:eastAsia="仿宋" w:cs="Times New Roman"/>
          <w:color w:val="auto"/>
          <w:szCs w:val="24"/>
          <w:highlight w:val="none"/>
        </w:rPr>
        <w:t>提供全部资料，或者供应商没有对比选文件在各方面作出实质性响应，可能导致比选被拒绝或评定为无效比选。</w:t>
      </w:r>
      <w:bookmarkEnd w:id="162"/>
    </w:p>
    <w:p w14:paraId="6A87707C">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63" w:name="_Toc557"/>
      <w:bookmarkStart w:id="164" w:name="_Toc27358"/>
      <w:bookmarkStart w:id="165" w:name="_Toc466546928"/>
      <w:bookmarkStart w:id="166" w:name="_Toc19613"/>
      <w:bookmarkStart w:id="167" w:name="_Toc105081919"/>
      <w:bookmarkStart w:id="168" w:name="_Toc2687"/>
      <w:r>
        <w:rPr>
          <w:rFonts w:ascii="Times New Roman" w:hAnsi="Times New Roman" w:eastAsia="方正黑体_GBK" w:cs="Times New Roman"/>
          <w:color w:val="auto"/>
          <w:sz w:val="28"/>
          <w:szCs w:val="20"/>
          <w:highlight w:val="none"/>
        </w:rPr>
        <w:t>六、中选供应商的确认和变更</w:t>
      </w:r>
      <w:bookmarkEnd w:id="163"/>
      <w:bookmarkEnd w:id="164"/>
      <w:bookmarkEnd w:id="165"/>
      <w:bookmarkEnd w:id="166"/>
      <w:bookmarkEnd w:id="167"/>
      <w:bookmarkEnd w:id="168"/>
    </w:p>
    <w:p w14:paraId="68F34699">
      <w:pPr>
        <w:ind w:firstLine="560"/>
        <w:rPr>
          <w:rFonts w:ascii="Times New Roman" w:hAnsi="Times New Roman" w:eastAsia="仿宋"/>
          <w:color w:val="auto"/>
          <w:highlight w:val="none"/>
        </w:rPr>
      </w:pPr>
      <w:r>
        <w:rPr>
          <w:rFonts w:ascii="Times New Roman" w:hAnsi="Times New Roman" w:eastAsia="仿宋"/>
          <w:color w:val="auto"/>
          <w:highlight w:val="none"/>
        </w:rPr>
        <w:t>（一）按照评选办法由评选小组根据评选结果，推荐前两名作为中选候选人。采购人按照推荐的中选候选人排名顺序确定中选供应商。</w:t>
      </w:r>
    </w:p>
    <w:p w14:paraId="57E83798">
      <w:pPr>
        <w:ind w:firstLine="560"/>
        <w:rPr>
          <w:rFonts w:ascii="Times New Roman" w:hAnsi="Times New Roman" w:eastAsia="仿宋"/>
          <w:color w:val="auto"/>
          <w:highlight w:val="none"/>
        </w:rPr>
      </w:pPr>
      <w:r>
        <w:rPr>
          <w:rFonts w:ascii="Times New Roman" w:hAnsi="Times New Roman" w:eastAsia="仿宋"/>
          <w:color w:val="auto"/>
          <w:highlight w:val="none"/>
        </w:rPr>
        <w:t>（二）排名第一的中选候选人放弃中选、因不可抗力不能履行合同、不按照比选文件要求提交履约保证金，或者被查实存在影响中选结果的违法行为等情形，不符合中选条件的，采购人可以按照小组提出的中选候选人名单排序依次确定其他中选候选人为中选供应商，也可以重新比选。</w:t>
      </w:r>
    </w:p>
    <w:p w14:paraId="02A99E29">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69" w:name="_Toc9185"/>
      <w:bookmarkStart w:id="170" w:name="_Toc7523"/>
      <w:bookmarkStart w:id="171" w:name="_Toc105081920"/>
      <w:bookmarkStart w:id="172" w:name="_Toc466546929"/>
      <w:bookmarkStart w:id="173" w:name="_Toc102227321"/>
      <w:bookmarkStart w:id="174" w:name="_Toc342913395"/>
      <w:bookmarkStart w:id="175" w:name="_Toc27221"/>
      <w:bookmarkStart w:id="176" w:name="_Toc26517"/>
      <w:r>
        <w:rPr>
          <w:rFonts w:ascii="Times New Roman" w:hAnsi="Times New Roman" w:eastAsia="方正黑体_GBK" w:cs="Times New Roman"/>
          <w:color w:val="auto"/>
          <w:sz w:val="28"/>
          <w:szCs w:val="20"/>
          <w:highlight w:val="none"/>
        </w:rPr>
        <w:t>七、成交通知</w:t>
      </w:r>
      <w:bookmarkEnd w:id="169"/>
      <w:bookmarkEnd w:id="170"/>
      <w:bookmarkEnd w:id="171"/>
      <w:bookmarkEnd w:id="172"/>
      <w:bookmarkEnd w:id="173"/>
      <w:bookmarkEnd w:id="174"/>
      <w:bookmarkEnd w:id="175"/>
      <w:bookmarkEnd w:id="176"/>
    </w:p>
    <w:p w14:paraId="40253980">
      <w:pPr>
        <w:pStyle w:val="11"/>
        <w:spacing w:line="579" w:lineRule="exact"/>
        <w:ind w:firstLine="560"/>
        <w:rPr>
          <w:rFonts w:ascii="Times New Roman" w:hAnsi="Times New Roman" w:eastAsia="仿宋" w:cs="Times New Roman"/>
          <w:color w:val="auto"/>
          <w:sz w:val="32"/>
          <w:szCs w:val="32"/>
          <w:highlight w:val="none"/>
        </w:rPr>
      </w:pPr>
      <w:r>
        <w:rPr>
          <w:rFonts w:ascii="Times New Roman" w:hAnsi="Times New Roman" w:eastAsia="仿宋" w:cs="Times New Roman"/>
          <w:color w:val="auto"/>
          <w:szCs w:val="24"/>
          <w:highlight w:val="none"/>
        </w:rPr>
        <w:t>采购人在中选供应商确定之日起5个工作日内，通知供应商成交结果，并同时向中选供应商发出成交通知书。</w:t>
      </w:r>
    </w:p>
    <w:p w14:paraId="6F1BBC97">
      <w:pPr>
        <w:pStyle w:val="4"/>
        <w:adjustRightInd w:val="0"/>
        <w:snapToGrid w:val="0"/>
        <w:spacing w:before="0" w:after="0"/>
        <w:ind w:firstLine="560"/>
        <w:jc w:val="left"/>
        <w:rPr>
          <w:rFonts w:ascii="Times New Roman" w:hAnsi="Times New Roman" w:eastAsia="方正黑体_GBK" w:cs="Times New Roman"/>
          <w:color w:val="auto"/>
          <w:sz w:val="28"/>
          <w:szCs w:val="20"/>
          <w:highlight w:val="none"/>
        </w:rPr>
      </w:pPr>
      <w:bookmarkStart w:id="177" w:name="_Toc16656"/>
      <w:bookmarkStart w:id="178" w:name="_Toc9991"/>
      <w:bookmarkStart w:id="179" w:name="_Toc16770"/>
      <w:bookmarkStart w:id="180" w:name="_Toc25570"/>
      <w:bookmarkStart w:id="181" w:name="_Toc105081921"/>
      <w:r>
        <w:rPr>
          <w:rFonts w:ascii="Times New Roman" w:hAnsi="Times New Roman" w:eastAsia="方正黑体_GBK" w:cs="Times New Roman"/>
          <w:color w:val="auto"/>
          <w:sz w:val="28"/>
          <w:szCs w:val="20"/>
          <w:highlight w:val="none"/>
        </w:rPr>
        <w:t>八、签订合同</w:t>
      </w:r>
      <w:bookmarkEnd w:id="177"/>
      <w:bookmarkEnd w:id="178"/>
      <w:bookmarkEnd w:id="179"/>
      <w:bookmarkEnd w:id="180"/>
      <w:bookmarkEnd w:id="181"/>
    </w:p>
    <w:p w14:paraId="161EDC94">
      <w:pPr>
        <w:ind w:firstLine="560"/>
        <w:rPr>
          <w:rFonts w:ascii="Times New Roman" w:hAnsi="Times New Roman" w:eastAsia="仿宋"/>
          <w:color w:val="auto"/>
          <w:highlight w:val="none"/>
        </w:rPr>
      </w:pPr>
      <w:r>
        <w:rPr>
          <w:rFonts w:ascii="Times New Roman" w:hAnsi="Times New Roman" w:eastAsia="仿宋"/>
          <w:color w:val="auto"/>
          <w:highlight w:val="none"/>
        </w:rPr>
        <w:t>（一）采购人和中选供应商应当自中选通知书发出之日起10日内，按照比选文件和中选供应商的参选文件订立书面合同。</w:t>
      </w:r>
    </w:p>
    <w:p w14:paraId="3900C6A6">
      <w:pPr>
        <w:ind w:firstLineChars="0"/>
        <w:rPr>
          <w:rFonts w:ascii="Times New Roman" w:hAnsi="Times New Roman" w:eastAsia="仿宋"/>
          <w:color w:val="auto"/>
          <w:highlight w:val="none"/>
        </w:rPr>
      </w:pPr>
      <w:r>
        <w:rPr>
          <w:rFonts w:ascii="Times New Roman" w:hAnsi="Times New Roman" w:eastAsia="仿宋"/>
          <w:color w:val="auto"/>
          <w:highlight w:val="none"/>
        </w:rPr>
        <w:t>（二）比选文件要求中选供应商提交履约保证金的，中选供应商应当提交。</w:t>
      </w:r>
      <w:bookmarkEnd w:id="139"/>
    </w:p>
    <w:p w14:paraId="6DD1A093">
      <w:pPr>
        <w:pStyle w:val="9"/>
        <w:ind w:firstLine="0" w:firstLineChars="0"/>
        <w:rPr>
          <w:color w:val="auto"/>
          <w:highlight w:val="none"/>
        </w:rPr>
      </w:pPr>
    </w:p>
    <w:p w14:paraId="1E0A122D">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highlight w:val="none"/>
        </w:rPr>
      </w:pPr>
      <w:bookmarkStart w:id="182" w:name="_Toc25452"/>
      <w:bookmarkStart w:id="183" w:name="_Toc21476"/>
      <w:bookmarkStart w:id="184" w:name="_Toc194572020"/>
      <w:bookmarkStart w:id="185" w:name="_Toc105081927"/>
      <w:bookmarkStart w:id="186" w:name="_Toc1319"/>
      <w:bookmarkStart w:id="187" w:name="_Toc1803"/>
      <w:bookmarkStart w:id="188" w:name="_Toc27938"/>
      <w:bookmarkStart w:id="189" w:name="_Toc538"/>
      <w:r>
        <w:rPr>
          <w:rFonts w:ascii="Times New Roman" w:hAnsi="Times New Roman" w:eastAsia="方正小标宋_GBK" w:cs="Times New Roman"/>
          <w:b/>
          <w:bCs/>
          <w:color w:val="auto"/>
          <w:kern w:val="44"/>
          <w:sz w:val="32"/>
          <w:szCs w:val="44"/>
          <w:highlight w:val="none"/>
        </w:rPr>
        <w:t>第六篇  合同主要条款和格式合同（样本）</w:t>
      </w:r>
      <w:bookmarkEnd w:id="182"/>
      <w:bookmarkEnd w:id="183"/>
      <w:bookmarkEnd w:id="184"/>
      <w:bookmarkEnd w:id="185"/>
      <w:bookmarkEnd w:id="186"/>
      <w:bookmarkEnd w:id="187"/>
      <w:bookmarkEnd w:id="188"/>
      <w:bookmarkEnd w:id="189"/>
    </w:p>
    <w:bookmarkEnd w:id="124"/>
    <w:p w14:paraId="03681C0C">
      <w:pPr>
        <w:spacing w:line="240" w:lineRule="auto"/>
        <w:ind w:firstLine="0" w:firstLineChars="0"/>
        <w:jc w:val="center"/>
        <w:rPr>
          <w:rFonts w:ascii="方正小标宋_GBK" w:hAnsi="仿宋" w:eastAsia="方正小标宋_GBK"/>
          <w:bCs/>
          <w:kern w:val="44"/>
          <w:sz w:val="36"/>
          <w:szCs w:val="36"/>
          <w:highlight w:val="none"/>
        </w:rPr>
      </w:pPr>
      <w:bookmarkStart w:id="190" w:name="_Toc223"/>
      <w:bookmarkStart w:id="191" w:name="_Toc7939"/>
      <w:bookmarkStart w:id="192" w:name="_Toc8201"/>
      <w:bookmarkStart w:id="193" w:name="_Toc11006"/>
      <w:bookmarkStart w:id="194" w:name="_Toc18978"/>
      <w:r>
        <w:rPr>
          <w:rFonts w:hint="eastAsia" w:ascii="方正小标宋_GBK" w:hAnsi="仿宋" w:eastAsia="方正小标宋_GBK"/>
          <w:bCs/>
          <w:kern w:val="44"/>
          <w:sz w:val="36"/>
          <w:szCs w:val="36"/>
          <w:highlight w:val="none"/>
        </w:rPr>
        <w:t>“党建·数智立法”应用</w:t>
      </w:r>
    </w:p>
    <w:p w14:paraId="4C08A7B7">
      <w:pPr>
        <w:spacing w:line="240" w:lineRule="auto"/>
        <w:ind w:firstLine="0" w:firstLineChars="0"/>
        <w:jc w:val="center"/>
        <w:rPr>
          <w:rFonts w:ascii="方正小标宋_GBK" w:hAnsi="仿宋" w:eastAsia="方正小标宋_GBK"/>
          <w:bCs/>
          <w:kern w:val="44"/>
          <w:sz w:val="32"/>
          <w:szCs w:val="32"/>
          <w:highlight w:val="none"/>
        </w:rPr>
      </w:pPr>
      <w:r>
        <w:rPr>
          <w:rFonts w:hint="eastAsia" w:ascii="方正小标宋_GBK" w:hAnsi="仿宋" w:eastAsia="方正小标宋_GBK"/>
          <w:bCs/>
          <w:kern w:val="44"/>
          <w:sz w:val="32"/>
          <w:szCs w:val="32"/>
          <w:highlight w:val="none"/>
        </w:rPr>
        <w:t>信息安全服务采购合同</w:t>
      </w:r>
    </w:p>
    <w:p w14:paraId="0316E988">
      <w:pPr>
        <w:ind w:firstLine="560"/>
        <w:jc w:val="left"/>
        <w:rPr>
          <w:rFonts w:ascii="Times New Roman"/>
          <w:highlight w:val="none"/>
        </w:rPr>
      </w:pPr>
      <w:bookmarkStart w:id="195" w:name="_Hlk126250423"/>
      <w:r>
        <w:rPr>
          <w:rFonts w:hint="eastAsia" w:ascii="Times New Roman"/>
          <w:highlight w:val="none"/>
        </w:rPr>
        <w:t>甲方：重庆华龙网集团股份有限公司</w:t>
      </w:r>
      <w:r>
        <w:rPr>
          <w:rFonts w:ascii="Times New Roman"/>
          <w:highlight w:val="none"/>
        </w:rPr>
        <w:t xml:space="preserve"> </w:t>
      </w:r>
    </w:p>
    <w:p w14:paraId="2109B5EA">
      <w:pPr>
        <w:ind w:firstLine="560"/>
        <w:jc w:val="left"/>
        <w:rPr>
          <w:rFonts w:ascii="宋体" w:hAnsi="宋体"/>
          <w:bCs/>
          <w:highlight w:val="none"/>
        </w:rPr>
      </w:pPr>
      <w:r>
        <w:rPr>
          <w:rFonts w:hint="eastAsia" w:ascii="Times New Roman"/>
          <w:highlight w:val="none"/>
        </w:rPr>
        <w:t>地址：</w:t>
      </w:r>
    </w:p>
    <w:p w14:paraId="0C948BA2">
      <w:pPr>
        <w:ind w:firstLine="560"/>
        <w:jc w:val="left"/>
        <w:rPr>
          <w:rFonts w:ascii="Times New Roman"/>
          <w:highlight w:val="none"/>
        </w:rPr>
      </w:pPr>
      <w:r>
        <w:rPr>
          <w:rFonts w:hint="eastAsia" w:ascii="Times New Roman"/>
          <w:highlight w:val="none"/>
        </w:rPr>
        <w:t xml:space="preserve">联系人：                </w:t>
      </w:r>
    </w:p>
    <w:p w14:paraId="39BD841E">
      <w:pPr>
        <w:ind w:firstLine="560"/>
        <w:jc w:val="left"/>
        <w:rPr>
          <w:rFonts w:ascii="Times New Roman"/>
          <w:highlight w:val="none"/>
        </w:rPr>
      </w:pPr>
      <w:r>
        <w:rPr>
          <w:rFonts w:hint="eastAsia" w:ascii="Times New Roman"/>
          <w:highlight w:val="none"/>
        </w:rPr>
        <w:t xml:space="preserve">联系电话：       </w:t>
      </w:r>
    </w:p>
    <w:p w14:paraId="36824A91">
      <w:pPr>
        <w:ind w:firstLine="560"/>
        <w:jc w:val="left"/>
        <w:rPr>
          <w:rFonts w:ascii="Times New Roman"/>
          <w:highlight w:val="none"/>
        </w:rPr>
      </w:pPr>
    </w:p>
    <w:p w14:paraId="48D35770">
      <w:pPr>
        <w:ind w:firstLine="560"/>
        <w:jc w:val="left"/>
        <w:rPr>
          <w:rFonts w:ascii="Times New Roman"/>
          <w:highlight w:val="none"/>
        </w:rPr>
      </w:pPr>
      <w:r>
        <w:rPr>
          <w:rFonts w:hint="eastAsia" w:ascii="Times New Roman"/>
          <w:highlight w:val="none"/>
        </w:rPr>
        <w:t xml:space="preserve">乙方：   </w:t>
      </w:r>
    </w:p>
    <w:p w14:paraId="6ECE4D69">
      <w:pPr>
        <w:ind w:firstLine="560"/>
        <w:jc w:val="left"/>
        <w:rPr>
          <w:rFonts w:ascii="Times New Roman"/>
          <w:highlight w:val="none"/>
        </w:rPr>
      </w:pPr>
      <w:r>
        <w:rPr>
          <w:rFonts w:hint="eastAsia" w:ascii="Times New Roman"/>
          <w:highlight w:val="none"/>
        </w:rPr>
        <w:t>地址：</w:t>
      </w:r>
    </w:p>
    <w:p w14:paraId="7B7C9A4B">
      <w:pPr>
        <w:ind w:firstLine="560"/>
        <w:jc w:val="left"/>
        <w:rPr>
          <w:rFonts w:ascii="Times New Roman"/>
          <w:highlight w:val="none"/>
        </w:rPr>
      </w:pPr>
      <w:r>
        <w:rPr>
          <w:rFonts w:hint="eastAsia" w:ascii="Times New Roman"/>
          <w:highlight w:val="none"/>
        </w:rPr>
        <w:t xml:space="preserve">联系人：      </w:t>
      </w:r>
    </w:p>
    <w:p w14:paraId="763837D6">
      <w:pPr>
        <w:ind w:firstLine="560"/>
        <w:jc w:val="left"/>
        <w:rPr>
          <w:rFonts w:ascii="Times New Roman"/>
          <w:highlight w:val="none"/>
        </w:rPr>
      </w:pPr>
      <w:r>
        <w:rPr>
          <w:rFonts w:hint="eastAsia" w:ascii="Times New Roman"/>
          <w:highlight w:val="none"/>
        </w:rPr>
        <w:t>联系电话：</w:t>
      </w:r>
    </w:p>
    <w:bookmarkEnd w:id="195"/>
    <w:p w14:paraId="36D3BDA1">
      <w:pPr>
        <w:ind w:firstLine="560"/>
        <w:jc w:val="left"/>
        <w:rPr>
          <w:highlight w:val="none"/>
        </w:rPr>
      </w:pPr>
    </w:p>
    <w:p w14:paraId="69CD6151">
      <w:pPr>
        <w:ind w:firstLine="0" w:firstLineChars="0"/>
        <w:rPr>
          <w:rFonts w:ascii="Times New Roman"/>
          <w:highlight w:val="none"/>
        </w:rPr>
      </w:pPr>
    </w:p>
    <w:p w14:paraId="071B4402">
      <w:pPr>
        <w:ind w:firstLine="560"/>
        <w:rPr>
          <w:rFonts w:ascii="Times New Roman"/>
          <w:highlight w:val="none"/>
        </w:rPr>
      </w:pPr>
      <w:r>
        <w:rPr>
          <w:rFonts w:hint="eastAsia" w:ascii="Times New Roman"/>
          <w:highlight w:val="none"/>
        </w:rPr>
        <w:t>双方经友好协商，就乙方对甲方“</w:t>
      </w:r>
      <w:r>
        <w:rPr>
          <w:rFonts w:hint="eastAsia" w:ascii="Times New Roman"/>
          <w:highlight w:val="none"/>
          <w:u w:val="single"/>
        </w:rPr>
        <w:t>党建·数智立法应用</w:t>
      </w:r>
      <w:r>
        <w:rPr>
          <w:rFonts w:hint="eastAsia" w:ascii="Times New Roman"/>
          <w:highlight w:val="none"/>
        </w:rPr>
        <w:t>”提供信息安全服务一事</w:t>
      </w:r>
      <w:bookmarkStart w:id="196" w:name="_Hlk32089160"/>
      <w:r>
        <w:rPr>
          <w:rFonts w:hint="eastAsia" w:ascii="Times New Roman"/>
          <w:highlight w:val="none"/>
        </w:rPr>
        <w:t>达成一致，在自愿、公平、合法的基础上签订本合同，双方将共同遵守本合同涉及的全部内容。</w:t>
      </w:r>
    </w:p>
    <w:bookmarkEnd w:id="196"/>
    <w:p w14:paraId="06D336F6">
      <w:pPr>
        <w:ind w:firstLine="560"/>
        <w:rPr>
          <w:rFonts w:ascii="Times New Roman"/>
          <w:highlight w:val="none"/>
        </w:rPr>
      </w:pPr>
      <w:r>
        <w:rPr>
          <w:rFonts w:hint="eastAsia" w:ascii="Times New Roman"/>
          <w:highlight w:val="none"/>
        </w:rPr>
        <w:t>一、服务范围</w:t>
      </w:r>
    </w:p>
    <w:p w14:paraId="4E1A8275">
      <w:pPr>
        <w:numPr>
          <w:ilvl w:val="255"/>
          <w:numId w:val="0"/>
        </w:numPr>
        <w:ind w:firstLine="560"/>
        <w:rPr>
          <w:rFonts w:ascii="Times New Roman"/>
          <w:highlight w:val="none"/>
        </w:rPr>
      </w:pPr>
      <w:r>
        <w:rPr>
          <w:rFonts w:hint="eastAsia" w:ascii="Times New Roman"/>
          <w:highlight w:val="none"/>
        </w:rPr>
        <w:t xml:space="preserve">    包括开发期内应用所需的安全咨询服务：软件供应链安全测评、数据安全评估服务、数据安全分类分级服务、数据安全技术服务、数据安全治理服务、数据安全能力服务、运维安全网关服务、数据全流量安全监测服务。具体如下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094"/>
        <w:gridCol w:w="5499"/>
        <w:gridCol w:w="2026"/>
      </w:tblGrid>
      <w:tr w14:paraId="5E91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2207394A">
            <w:pPr>
              <w:spacing w:line="240" w:lineRule="auto"/>
              <w:ind w:firstLine="0" w:firstLineChars="0"/>
              <w:jc w:val="center"/>
              <w:textAlignment w:val="center"/>
              <w:rPr>
                <w:rFonts w:cs="宋体"/>
                <w:b/>
                <w:bCs/>
                <w:color w:val="000000"/>
                <w:sz w:val="22"/>
                <w:highlight w:val="none"/>
              </w:rPr>
            </w:pPr>
            <w:r>
              <w:rPr>
                <w:rFonts w:hint="eastAsia" w:cs="宋体"/>
                <w:b/>
                <w:bCs/>
                <w:color w:val="000000"/>
                <w:kern w:val="0"/>
                <w:sz w:val="22"/>
                <w:highlight w:val="none"/>
                <w:lang w:bidi="ar"/>
              </w:rPr>
              <w:t>序号</w:t>
            </w:r>
          </w:p>
        </w:tc>
        <w:tc>
          <w:tcPr>
            <w:tcW w:w="589" w:type="pct"/>
            <w:vAlign w:val="center"/>
          </w:tcPr>
          <w:p w14:paraId="0A2D9A30">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服务项</w:t>
            </w:r>
          </w:p>
        </w:tc>
        <w:tc>
          <w:tcPr>
            <w:tcW w:w="2961" w:type="pct"/>
            <w:vAlign w:val="center"/>
          </w:tcPr>
          <w:p w14:paraId="1280CFCC">
            <w:pPr>
              <w:spacing w:line="240" w:lineRule="auto"/>
              <w:ind w:firstLine="0" w:firstLineChars="0"/>
              <w:jc w:val="center"/>
              <w:textAlignment w:val="center"/>
              <w:rPr>
                <w:rFonts w:cs="宋体"/>
                <w:b/>
                <w:bCs/>
                <w:color w:val="000000"/>
                <w:sz w:val="22"/>
                <w:highlight w:val="none"/>
              </w:rPr>
            </w:pPr>
            <w:r>
              <w:rPr>
                <w:rFonts w:hint="eastAsia" w:cs="宋体"/>
                <w:b/>
                <w:bCs/>
                <w:color w:val="000000"/>
                <w:kern w:val="0"/>
                <w:sz w:val="22"/>
                <w:highlight w:val="none"/>
                <w:lang w:bidi="ar"/>
              </w:rPr>
              <w:t>服务描述</w:t>
            </w:r>
          </w:p>
        </w:tc>
        <w:tc>
          <w:tcPr>
            <w:tcW w:w="1091" w:type="pct"/>
            <w:vAlign w:val="center"/>
          </w:tcPr>
          <w:p w14:paraId="72B08CF6">
            <w:pPr>
              <w:spacing w:line="240" w:lineRule="auto"/>
              <w:ind w:firstLine="0" w:firstLineChars="0"/>
              <w:jc w:val="center"/>
              <w:textAlignment w:val="center"/>
              <w:rPr>
                <w:rFonts w:eastAsia="宋体" w:cs="宋体"/>
                <w:b/>
                <w:bCs/>
                <w:color w:val="000000"/>
                <w:sz w:val="22"/>
                <w:highlight w:val="none"/>
              </w:rPr>
            </w:pPr>
            <w:r>
              <w:rPr>
                <w:rFonts w:hint="eastAsia" w:cs="宋体"/>
                <w:b/>
                <w:bCs/>
                <w:color w:val="000000"/>
                <w:kern w:val="0"/>
                <w:sz w:val="22"/>
                <w:highlight w:val="none"/>
                <w:lang w:bidi="ar"/>
              </w:rPr>
              <w:t>服务规格</w:t>
            </w:r>
          </w:p>
        </w:tc>
      </w:tr>
      <w:tr w14:paraId="4C30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181FA32E">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1</w:t>
            </w:r>
          </w:p>
        </w:tc>
        <w:tc>
          <w:tcPr>
            <w:tcW w:w="589" w:type="pct"/>
            <w:vAlign w:val="center"/>
          </w:tcPr>
          <w:p w14:paraId="10C3E0B9">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软件供应链安全测评</w:t>
            </w:r>
          </w:p>
        </w:tc>
        <w:tc>
          <w:tcPr>
            <w:tcW w:w="2961" w:type="pct"/>
            <w:vAlign w:val="center"/>
          </w:tcPr>
          <w:p w14:paraId="4590D7D9">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包括软件成分安全技术分析、基于二进制软件基因技术分析、动态应用程序安全测试、容器镜像安全技术分析、静态应用程序安全测试等，在操作过程中可根据实际情况选择技术分析项，其中软件成分安全技术分析、基于二进制软件基因技术分析、动态应用程序安全测试为必选项，容器镜像安全技术分析、静态应用程序安全测试为可选项等。</w:t>
            </w:r>
          </w:p>
        </w:tc>
        <w:tc>
          <w:tcPr>
            <w:tcW w:w="1091" w:type="pct"/>
            <w:vMerge w:val="restart"/>
            <w:vAlign w:val="center"/>
          </w:tcPr>
          <w:p w14:paraId="60B573FA">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现场+远程不低于</w:t>
            </w:r>
          </w:p>
          <w:p w14:paraId="2C2F16FD">
            <w:pPr>
              <w:spacing w:line="240" w:lineRule="auto"/>
              <w:ind w:firstLine="0" w:firstLineChars="0"/>
              <w:jc w:val="center"/>
              <w:textAlignment w:val="center"/>
              <w:rPr>
                <w:rFonts w:cs="宋体"/>
                <w:b/>
                <w:bCs/>
                <w:color w:val="000000"/>
                <w:kern w:val="0"/>
                <w:sz w:val="22"/>
                <w:highlight w:val="none"/>
                <w:lang w:bidi="ar"/>
              </w:rPr>
            </w:pPr>
            <w:r>
              <w:rPr>
                <w:rFonts w:hint="eastAsia" w:cs="宋体"/>
                <w:color w:val="000000"/>
                <w:kern w:val="0"/>
                <w:sz w:val="22"/>
                <w:highlight w:val="none"/>
                <w:lang w:bidi="ar"/>
              </w:rPr>
              <w:t>4人服务</w:t>
            </w:r>
          </w:p>
        </w:tc>
      </w:tr>
      <w:tr w14:paraId="29F3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0B440C5A">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2</w:t>
            </w:r>
          </w:p>
        </w:tc>
        <w:tc>
          <w:tcPr>
            <w:tcW w:w="589" w:type="pct"/>
            <w:vAlign w:val="center"/>
          </w:tcPr>
          <w:p w14:paraId="4C9A9E4E">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数据安全评估服务</w:t>
            </w:r>
          </w:p>
        </w:tc>
        <w:tc>
          <w:tcPr>
            <w:tcW w:w="2961" w:type="pct"/>
            <w:vAlign w:val="center"/>
          </w:tcPr>
          <w:p w14:paraId="62B7E65C">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从管理和技术两个层面开展信息系统的数据安全评估工作。管理层面除了检查各单位数据安全管理组织的设立情况，管理制度的制定和落实情况，安全培训的开展情况，安全责任的落实情况外，相关部门的风险评估和应急管理工作的落实情况。技术层面将抽从网络、系统、应用和数据层面进行安全检查，并重点检查数据安全防护措施的落实情况。</w:t>
            </w:r>
          </w:p>
        </w:tc>
        <w:tc>
          <w:tcPr>
            <w:tcW w:w="1091" w:type="pct"/>
            <w:vMerge w:val="continue"/>
            <w:vAlign w:val="center"/>
          </w:tcPr>
          <w:p w14:paraId="440D30F6">
            <w:pPr>
              <w:spacing w:line="240" w:lineRule="auto"/>
              <w:ind w:firstLine="0" w:firstLineChars="0"/>
              <w:jc w:val="center"/>
              <w:textAlignment w:val="center"/>
              <w:rPr>
                <w:rFonts w:cs="宋体"/>
                <w:b/>
                <w:bCs/>
                <w:color w:val="000000"/>
                <w:kern w:val="0"/>
                <w:sz w:val="22"/>
                <w:highlight w:val="none"/>
                <w:lang w:bidi="ar"/>
              </w:rPr>
            </w:pPr>
          </w:p>
        </w:tc>
      </w:tr>
      <w:tr w14:paraId="610B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75481DEB">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3</w:t>
            </w:r>
          </w:p>
        </w:tc>
        <w:tc>
          <w:tcPr>
            <w:tcW w:w="589" w:type="pct"/>
            <w:vAlign w:val="center"/>
          </w:tcPr>
          <w:p w14:paraId="6AB0B867">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数据安全分类分级服务</w:t>
            </w:r>
          </w:p>
        </w:tc>
        <w:tc>
          <w:tcPr>
            <w:tcW w:w="2961" w:type="pct"/>
            <w:vAlign w:val="center"/>
          </w:tcPr>
          <w:p w14:paraId="189F4753">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应用的数据安全分级分类管理严格遵循《中华人民共和国数据安全法》《中华人民共和国个人信息保护法》《网络安全等级保护基本要求》（GB/T 22239-2019）等法律法规及重庆市《公共数据分级分类指南》（DB50/T 1700-2024）等管理规范，构建“分级管控、分类施策、权责清晰、安全可控”的数据治理体系，针对在系统内入库的数据字典开展分类分级，确定重要数据保护目录，对列入目录的数据进行重点保护，为后续数据保护工作提供有效参考，并输出报告。</w:t>
            </w:r>
          </w:p>
        </w:tc>
        <w:tc>
          <w:tcPr>
            <w:tcW w:w="1091" w:type="pct"/>
            <w:vMerge w:val="continue"/>
            <w:vAlign w:val="center"/>
          </w:tcPr>
          <w:p w14:paraId="317FF0F4">
            <w:pPr>
              <w:spacing w:line="240" w:lineRule="auto"/>
              <w:ind w:firstLine="0" w:firstLineChars="0"/>
              <w:jc w:val="center"/>
              <w:textAlignment w:val="center"/>
              <w:rPr>
                <w:rFonts w:cs="宋体"/>
                <w:b/>
                <w:bCs/>
                <w:color w:val="000000"/>
                <w:kern w:val="0"/>
                <w:sz w:val="22"/>
                <w:highlight w:val="none"/>
                <w:lang w:bidi="ar"/>
              </w:rPr>
            </w:pPr>
          </w:p>
        </w:tc>
      </w:tr>
      <w:tr w14:paraId="1F6E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0CE2FB95">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4</w:t>
            </w:r>
          </w:p>
        </w:tc>
        <w:tc>
          <w:tcPr>
            <w:tcW w:w="589" w:type="pct"/>
            <w:vAlign w:val="center"/>
          </w:tcPr>
          <w:p w14:paraId="7ADA3627">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数据安全技术服务</w:t>
            </w:r>
          </w:p>
        </w:tc>
        <w:tc>
          <w:tcPr>
            <w:tcW w:w="2961" w:type="pct"/>
            <w:vAlign w:val="center"/>
          </w:tcPr>
          <w:p w14:paraId="205C6AC2">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配合日常数据安全技术检测服务：开展数据安全漏洞扫描、渗透测试、敏感数据发现与核查、安全配置合规检查等技术检测工作。应急响应技术支撑服务：针对数据泄露、越权访问等安全事件，提供技术层面的应急处置、溯源分析、漏洞修复及系统恢复支持。</w:t>
            </w:r>
          </w:p>
        </w:tc>
        <w:tc>
          <w:tcPr>
            <w:tcW w:w="1091" w:type="pct"/>
            <w:vMerge w:val="continue"/>
            <w:vAlign w:val="center"/>
          </w:tcPr>
          <w:p w14:paraId="1478603B">
            <w:pPr>
              <w:spacing w:line="240" w:lineRule="auto"/>
              <w:ind w:firstLine="0" w:firstLineChars="0"/>
              <w:jc w:val="center"/>
              <w:textAlignment w:val="center"/>
              <w:rPr>
                <w:rFonts w:cs="宋体"/>
                <w:b/>
                <w:bCs/>
                <w:color w:val="000000"/>
                <w:kern w:val="0"/>
                <w:sz w:val="22"/>
                <w:highlight w:val="none"/>
                <w:lang w:bidi="ar"/>
              </w:rPr>
            </w:pPr>
          </w:p>
        </w:tc>
      </w:tr>
      <w:tr w14:paraId="19F0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778ACC74">
            <w:pPr>
              <w:spacing w:line="240" w:lineRule="auto"/>
              <w:ind w:firstLine="0" w:firstLineChars="0"/>
              <w:jc w:val="center"/>
              <w:textAlignment w:val="center"/>
              <w:rPr>
                <w:rFonts w:eastAsia="宋体" w:cs="宋体"/>
                <w:b/>
                <w:bCs/>
                <w:color w:val="000000"/>
                <w:kern w:val="0"/>
                <w:sz w:val="22"/>
                <w:highlight w:val="none"/>
                <w:lang w:bidi="ar"/>
              </w:rPr>
            </w:pPr>
            <w:r>
              <w:rPr>
                <w:rFonts w:hint="eastAsia" w:cs="宋体"/>
                <w:b/>
                <w:bCs/>
                <w:color w:val="000000"/>
                <w:kern w:val="0"/>
                <w:sz w:val="22"/>
                <w:highlight w:val="none"/>
                <w:lang w:bidi="ar"/>
              </w:rPr>
              <w:t>5</w:t>
            </w:r>
          </w:p>
        </w:tc>
        <w:tc>
          <w:tcPr>
            <w:tcW w:w="589" w:type="pct"/>
            <w:vAlign w:val="center"/>
          </w:tcPr>
          <w:p w14:paraId="22D26F96">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数据安全治理服务</w:t>
            </w:r>
          </w:p>
        </w:tc>
        <w:tc>
          <w:tcPr>
            <w:tcW w:w="2961" w:type="pct"/>
            <w:vAlign w:val="center"/>
          </w:tcPr>
          <w:p w14:paraId="7E0F8144">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数据资产梳理：识别全域数据资产，划分数据分类分级，建立数据资产台账；安全策略与制度建设：制定数据安全管理规范、流程与制度，明确各角色权责，覆盖数据采集、存储、传输、使用、销毁全流程； 建立风险预警机制；开展日常数据安全监控、审计与事件响应，定期复盘并迭代优化治理体系。</w:t>
            </w:r>
          </w:p>
        </w:tc>
        <w:tc>
          <w:tcPr>
            <w:tcW w:w="1091" w:type="pct"/>
            <w:vMerge w:val="continue"/>
            <w:vAlign w:val="center"/>
          </w:tcPr>
          <w:p w14:paraId="33DEFB40">
            <w:pPr>
              <w:spacing w:line="240" w:lineRule="auto"/>
              <w:ind w:firstLine="0" w:firstLineChars="0"/>
              <w:jc w:val="center"/>
              <w:textAlignment w:val="center"/>
              <w:rPr>
                <w:rFonts w:cs="宋体"/>
                <w:b/>
                <w:bCs/>
                <w:color w:val="000000"/>
                <w:kern w:val="0"/>
                <w:sz w:val="22"/>
                <w:highlight w:val="none"/>
                <w:lang w:bidi="ar"/>
              </w:rPr>
            </w:pPr>
          </w:p>
        </w:tc>
      </w:tr>
      <w:tr w14:paraId="0C1F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3D2E26A1">
            <w:pPr>
              <w:spacing w:line="240" w:lineRule="auto"/>
              <w:ind w:firstLine="0" w:firstLineChars="0"/>
              <w:jc w:val="center"/>
              <w:textAlignment w:val="center"/>
              <w:rPr>
                <w:rFonts w:cs="宋体"/>
                <w:b/>
                <w:bCs/>
                <w:color w:val="000000"/>
                <w:kern w:val="0"/>
                <w:sz w:val="22"/>
                <w:highlight w:val="none"/>
                <w:lang w:bidi="ar"/>
              </w:rPr>
            </w:pPr>
            <w:r>
              <w:rPr>
                <w:rFonts w:hint="eastAsia" w:cs="宋体"/>
                <w:b/>
                <w:bCs/>
                <w:color w:val="000000"/>
                <w:kern w:val="0"/>
                <w:sz w:val="22"/>
                <w:highlight w:val="none"/>
                <w:lang w:bidi="ar"/>
              </w:rPr>
              <w:t>6</w:t>
            </w:r>
          </w:p>
        </w:tc>
        <w:tc>
          <w:tcPr>
            <w:tcW w:w="589" w:type="pct"/>
            <w:vAlign w:val="center"/>
          </w:tcPr>
          <w:p w14:paraId="2E8CCFD2">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数据安全能力服务</w:t>
            </w:r>
          </w:p>
        </w:tc>
        <w:tc>
          <w:tcPr>
            <w:tcW w:w="2961" w:type="pct"/>
            <w:vAlign w:val="center"/>
          </w:tcPr>
          <w:p w14:paraId="6B0D8341">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以“数据、身份”为中心，以数据分类分级为抓手，以脱敏、水印、API监测、数据库审计等数据能力组件为支撑，从识别、防护、检测、响应（IPDR）四个维度构建“安全、可信、合规”的数据智能化安全治理体系，有效降低了数据流通全流程的安全风险，构建了全生命周期数据安全治理技术体系。</w:t>
            </w:r>
          </w:p>
        </w:tc>
        <w:tc>
          <w:tcPr>
            <w:tcW w:w="1091" w:type="pct"/>
            <w:vMerge w:val="continue"/>
            <w:vAlign w:val="center"/>
          </w:tcPr>
          <w:p w14:paraId="007137E6">
            <w:pPr>
              <w:spacing w:line="240" w:lineRule="auto"/>
              <w:ind w:firstLine="0" w:firstLineChars="0"/>
              <w:jc w:val="center"/>
              <w:textAlignment w:val="center"/>
              <w:rPr>
                <w:rFonts w:cs="宋体"/>
                <w:b/>
                <w:bCs/>
                <w:color w:val="000000"/>
                <w:kern w:val="0"/>
                <w:sz w:val="22"/>
                <w:highlight w:val="none"/>
                <w:lang w:bidi="ar"/>
              </w:rPr>
            </w:pPr>
          </w:p>
        </w:tc>
      </w:tr>
      <w:tr w14:paraId="64A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371B745C">
            <w:pPr>
              <w:spacing w:line="240" w:lineRule="auto"/>
              <w:ind w:firstLine="0" w:firstLineChars="0"/>
              <w:jc w:val="center"/>
              <w:textAlignment w:val="center"/>
              <w:rPr>
                <w:rFonts w:cs="宋体"/>
                <w:b/>
                <w:bCs/>
                <w:color w:val="000000"/>
                <w:kern w:val="0"/>
                <w:sz w:val="22"/>
                <w:highlight w:val="none"/>
                <w:lang w:bidi="ar"/>
              </w:rPr>
            </w:pPr>
            <w:r>
              <w:rPr>
                <w:rFonts w:hint="eastAsia" w:cs="宋体"/>
                <w:b/>
                <w:bCs/>
                <w:color w:val="000000"/>
                <w:kern w:val="0"/>
                <w:sz w:val="22"/>
                <w:highlight w:val="none"/>
                <w:lang w:bidi="ar"/>
              </w:rPr>
              <w:t>7</w:t>
            </w:r>
          </w:p>
        </w:tc>
        <w:tc>
          <w:tcPr>
            <w:tcW w:w="589" w:type="pct"/>
            <w:vAlign w:val="center"/>
          </w:tcPr>
          <w:p w14:paraId="334BBA00">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运维安全网关服务</w:t>
            </w:r>
          </w:p>
        </w:tc>
        <w:tc>
          <w:tcPr>
            <w:tcW w:w="2961" w:type="pct"/>
            <w:vAlign w:val="center"/>
          </w:tcPr>
          <w:p w14:paraId="7B2B5DE6">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对运维人员的所有操作进行全量记录与审计，包括命令行操作、文件传输、数据库查询等，支持操作回放与行为追溯。敏感数据防护服务：在运维过程中对敏感数据进行实时脱敏、访问过滤，限制高危操作（如批量导出数据库、删除核心文件），防止运维环节的数据</w:t>
            </w:r>
            <w:r>
              <w:rPr>
                <w:rFonts w:hint="eastAsia" w:cs="宋体"/>
                <w:color w:val="000000"/>
                <w:kern w:val="0"/>
                <w:sz w:val="22"/>
                <w:highlight w:val="none"/>
                <w:lang w:eastAsia="zh-CN" w:bidi="ar"/>
              </w:rPr>
              <w:t>泄漏</w:t>
            </w:r>
            <w:r>
              <w:rPr>
                <w:rFonts w:hint="eastAsia" w:cs="宋体"/>
                <w:color w:val="000000"/>
                <w:kern w:val="0"/>
                <w:sz w:val="22"/>
                <w:highlight w:val="none"/>
                <w:lang w:bidi="ar"/>
              </w:rPr>
              <w:t>。合规与报表服务：生成符合等保、数据安全法等要求的运维安全审计报表。</w:t>
            </w:r>
          </w:p>
        </w:tc>
        <w:tc>
          <w:tcPr>
            <w:tcW w:w="1091" w:type="pct"/>
            <w:vMerge w:val="continue"/>
            <w:vAlign w:val="center"/>
          </w:tcPr>
          <w:p w14:paraId="49BE40D5">
            <w:pPr>
              <w:spacing w:line="240" w:lineRule="auto"/>
              <w:ind w:firstLine="0" w:firstLineChars="0"/>
              <w:jc w:val="center"/>
              <w:textAlignment w:val="center"/>
              <w:rPr>
                <w:rFonts w:cs="宋体"/>
                <w:b/>
                <w:bCs/>
                <w:color w:val="000000"/>
                <w:kern w:val="0"/>
                <w:sz w:val="22"/>
                <w:highlight w:val="none"/>
                <w:lang w:bidi="ar"/>
              </w:rPr>
            </w:pPr>
          </w:p>
        </w:tc>
      </w:tr>
      <w:tr w14:paraId="7B87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9" w:type="pct"/>
            <w:vAlign w:val="center"/>
          </w:tcPr>
          <w:p w14:paraId="10961274">
            <w:pPr>
              <w:spacing w:line="240" w:lineRule="auto"/>
              <w:ind w:firstLine="0" w:firstLineChars="0"/>
              <w:jc w:val="center"/>
              <w:textAlignment w:val="center"/>
              <w:rPr>
                <w:rFonts w:cs="宋体"/>
                <w:b/>
                <w:bCs/>
                <w:color w:val="000000"/>
                <w:kern w:val="0"/>
                <w:sz w:val="22"/>
                <w:highlight w:val="none"/>
                <w:lang w:bidi="ar"/>
              </w:rPr>
            </w:pPr>
            <w:r>
              <w:rPr>
                <w:rFonts w:hint="eastAsia" w:cs="宋体"/>
                <w:b/>
                <w:bCs/>
                <w:color w:val="000000"/>
                <w:kern w:val="0"/>
                <w:sz w:val="22"/>
                <w:highlight w:val="none"/>
                <w:lang w:bidi="ar"/>
              </w:rPr>
              <w:t>8</w:t>
            </w:r>
          </w:p>
        </w:tc>
        <w:tc>
          <w:tcPr>
            <w:tcW w:w="589" w:type="pct"/>
            <w:vAlign w:val="center"/>
          </w:tcPr>
          <w:p w14:paraId="684EA383">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数据全流量安全监测服务</w:t>
            </w:r>
          </w:p>
        </w:tc>
        <w:tc>
          <w:tcPr>
            <w:tcW w:w="2961" w:type="pct"/>
            <w:vAlign w:val="center"/>
          </w:tcPr>
          <w:p w14:paraId="2BE3BB59">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全链路流量采集：覆盖网络层、应用层、数据层的全流量数据采集，对异常行为识别：对流量中包含的敏感数据进行实时标记、路径追踪，监控其流转过程。安全事件告警与溯源：定位事件的发起主体、操作路径和影响范围。审计与合规报告：生成流量监测审计日志，输出符合法律法规要求的合规报告，支撑数据安全审计与核查工作</w:t>
            </w:r>
          </w:p>
        </w:tc>
        <w:tc>
          <w:tcPr>
            <w:tcW w:w="1091" w:type="pct"/>
            <w:vMerge w:val="continue"/>
            <w:vAlign w:val="center"/>
          </w:tcPr>
          <w:p w14:paraId="5A97083E">
            <w:pPr>
              <w:spacing w:line="240" w:lineRule="auto"/>
              <w:ind w:firstLine="0" w:firstLineChars="0"/>
              <w:jc w:val="center"/>
              <w:textAlignment w:val="center"/>
              <w:rPr>
                <w:rFonts w:cs="宋体"/>
                <w:b/>
                <w:bCs/>
                <w:color w:val="000000"/>
                <w:kern w:val="0"/>
                <w:sz w:val="22"/>
                <w:highlight w:val="none"/>
                <w:lang w:bidi="ar"/>
              </w:rPr>
            </w:pPr>
          </w:p>
        </w:tc>
      </w:tr>
    </w:tbl>
    <w:p w14:paraId="761A9168">
      <w:pPr>
        <w:ind w:firstLine="0" w:firstLineChars="0"/>
        <w:rPr>
          <w:rFonts w:ascii="Times New Roman"/>
          <w:highlight w:val="none"/>
        </w:rPr>
      </w:pPr>
      <w:r>
        <w:rPr>
          <w:rFonts w:hint="eastAsia" w:ascii="Times New Roman"/>
          <w:highlight w:val="none"/>
        </w:rPr>
        <w:t>二、技术要求</w:t>
      </w:r>
    </w:p>
    <w:tbl>
      <w:tblPr>
        <w:tblStyle w:val="17"/>
        <w:tblW w:w="8964" w:type="dxa"/>
        <w:jc w:val="center"/>
        <w:tblLayout w:type="fixed"/>
        <w:tblCellMar>
          <w:top w:w="0" w:type="dxa"/>
          <w:left w:w="108" w:type="dxa"/>
          <w:bottom w:w="0" w:type="dxa"/>
          <w:right w:w="108" w:type="dxa"/>
        </w:tblCellMar>
      </w:tblPr>
      <w:tblGrid>
        <w:gridCol w:w="804"/>
        <w:gridCol w:w="2026"/>
        <w:gridCol w:w="6134"/>
      </w:tblGrid>
      <w:tr w14:paraId="307A663B">
        <w:tblPrEx>
          <w:tblCellMar>
            <w:top w:w="0" w:type="dxa"/>
            <w:left w:w="108" w:type="dxa"/>
            <w:bottom w:w="0" w:type="dxa"/>
            <w:right w:w="108" w:type="dxa"/>
          </w:tblCellMar>
        </w:tblPrEx>
        <w:trPr>
          <w:trHeight w:val="580"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74493438">
            <w:pPr>
              <w:widowControl/>
              <w:ind w:firstLine="0" w:firstLineChars="0"/>
              <w:textAlignment w:val="center"/>
              <w:rPr>
                <w:rFonts w:ascii="仿宋" w:hAnsi="仿宋" w:eastAsia="仿宋" w:cs="仿宋"/>
                <w:sz w:val="24"/>
                <w:highlight w:val="none"/>
              </w:rPr>
            </w:pPr>
            <w:r>
              <w:rPr>
                <w:rFonts w:hint="eastAsia" w:ascii="仿宋" w:hAnsi="仿宋" w:eastAsia="仿宋" w:cs="仿宋"/>
                <w:sz w:val="24"/>
                <w:highlight w:val="none"/>
              </w:rPr>
              <w:t>序号</w:t>
            </w:r>
          </w:p>
        </w:tc>
        <w:tc>
          <w:tcPr>
            <w:tcW w:w="2026" w:type="dxa"/>
            <w:tcBorders>
              <w:top w:val="single" w:color="000000" w:sz="4" w:space="0"/>
              <w:left w:val="nil"/>
              <w:bottom w:val="single" w:color="000000" w:sz="4" w:space="0"/>
              <w:right w:val="single" w:color="000000" w:sz="4" w:space="0"/>
            </w:tcBorders>
            <w:noWrap/>
            <w:vAlign w:val="center"/>
          </w:tcPr>
          <w:p w14:paraId="376548D9">
            <w:pPr>
              <w:widowControl/>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名称</w:t>
            </w:r>
          </w:p>
        </w:tc>
        <w:tc>
          <w:tcPr>
            <w:tcW w:w="6134" w:type="dxa"/>
            <w:tcBorders>
              <w:top w:val="single" w:color="000000" w:sz="4" w:space="0"/>
              <w:left w:val="nil"/>
              <w:bottom w:val="single" w:color="000000" w:sz="4" w:space="0"/>
              <w:right w:val="single" w:color="000000" w:sz="4" w:space="0"/>
            </w:tcBorders>
            <w:vAlign w:val="center"/>
          </w:tcPr>
          <w:p w14:paraId="43A87417">
            <w:pPr>
              <w:widowControl/>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技术要求</w:t>
            </w:r>
          </w:p>
        </w:tc>
      </w:tr>
      <w:tr w14:paraId="1322C897">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62B0B109">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1</w:t>
            </w:r>
          </w:p>
        </w:tc>
        <w:tc>
          <w:tcPr>
            <w:tcW w:w="2026" w:type="dxa"/>
            <w:tcBorders>
              <w:top w:val="single" w:color="000000" w:sz="4" w:space="0"/>
              <w:left w:val="nil"/>
              <w:bottom w:val="single" w:color="000000" w:sz="4" w:space="0"/>
              <w:right w:val="single" w:color="000000" w:sz="4" w:space="0"/>
            </w:tcBorders>
            <w:noWrap/>
            <w:vAlign w:val="center"/>
          </w:tcPr>
          <w:p w14:paraId="2F848AAD">
            <w:pPr>
              <w:spacing w:line="240" w:lineRule="auto"/>
              <w:ind w:firstLine="0" w:firstLineChars="0"/>
              <w:jc w:val="center"/>
              <w:textAlignment w:val="center"/>
              <w:rPr>
                <w:rFonts w:ascii="仿宋" w:hAnsi="仿宋" w:eastAsia="仿宋" w:cs="仿宋"/>
                <w:sz w:val="24"/>
                <w:highlight w:val="none"/>
              </w:rPr>
            </w:pPr>
            <w:r>
              <w:rPr>
                <w:rFonts w:hint="eastAsia" w:cs="宋体"/>
                <w:color w:val="000000"/>
                <w:kern w:val="0"/>
                <w:sz w:val="22"/>
                <w:highlight w:val="none"/>
                <w:lang w:bidi="ar"/>
              </w:rPr>
              <w:t>通用技术要求</w:t>
            </w:r>
          </w:p>
        </w:tc>
        <w:tc>
          <w:tcPr>
            <w:tcW w:w="6134" w:type="dxa"/>
            <w:tcBorders>
              <w:top w:val="single" w:color="000000" w:sz="4" w:space="0"/>
              <w:left w:val="nil"/>
              <w:bottom w:val="single" w:color="000000" w:sz="4" w:space="0"/>
              <w:right w:val="single" w:color="000000" w:sz="4" w:space="0"/>
            </w:tcBorders>
            <w:vAlign w:val="center"/>
          </w:tcPr>
          <w:p w14:paraId="0AC8D19D">
            <w:pPr>
              <w:widowControl/>
              <w:spacing w:line="400" w:lineRule="exact"/>
              <w:ind w:firstLine="0" w:firstLineChars="0"/>
              <w:jc w:val="left"/>
              <w:textAlignment w:val="center"/>
              <w:rPr>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采用“现场+远程”模式，现场不少于2名持证专职人员，远程7×24小时响应，紧急事件≤15分钟、普通≤30分钟，人员服从调度并严守保密规定。</w:t>
            </w:r>
          </w:p>
          <w:p w14:paraId="551E2171">
            <w:pPr>
              <w:widowControl/>
              <w:spacing w:line="400" w:lineRule="exact"/>
              <w:ind w:firstLine="0" w:firstLineChars="0"/>
              <w:jc w:val="left"/>
              <w:textAlignment w:val="center"/>
              <w:rPr>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现场人员</w:t>
            </w:r>
            <w:r>
              <w:rPr>
                <w:rFonts w:hint="eastAsia" w:ascii="仿宋" w:hAnsi="仿宋" w:eastAsia="仿宋" w:cs="仿宋"/>
                <w:sz w:val="24"/>
                <w:highlight w:val="none"/>
                <w:lang w:eastAsia="zh-CN"/>
              </w:rPr>
              <w:t>须具备</w:t>
            </w:r>
            <w:r>
              <w:rPr>
                <w:rFonts w:hint="eastAsia" w:ascii="仿宋" w:hAnsi="仿宋" w:eastAsia="仿宋" w:cs="仿宋"/>
                <w:sz w:val="24"/>
                <w:highlight w:val="none"/>
              </w:rPr>
              <w:t>CISAW/CISP等资质，核心人员从业≥3年</w:t>
            </w:r>
            <w:r>
              <w:rPr>
                <w:rFonts w:hint="eastAsia" w:ascii="仿宋" w:hAnsi="仿宋" w:eastAsia="仿宋" w:cs="仿宋"/>
                <w:sz w:val="24"/>
                <w:highlight w:val="none"/>
                <w:lang w:eastAsia="zh-CN"/>
              </w:rPr>
              <w:t>，具</w:t>
            </w:r>
            <w:r>
              <w:rPr>
                <w:rFonts w:hint="eastAsia" w:ascii="仿宋" w:hAnsi="仿宋" w:eastAsia="仿宋" w:cs="仿宋"/>
                <w:sz w:val="24"/>
                <w:highlight w:val="none"/>
              </w:rPr>
              <w:t>有政务系统安全服务经验，人员及资质需提前审核通过方可上岗。</w:t>
            </w:r>
          </w:p>
          <w:p w14:paraId="7FF5C8BC">
            <w:pPr>
              <w:widowControl/>
              <w:spacing w:line="400" w:lineRule="exact"/>
              <w:ind w:firstLine="0" w:firstLineChars="0"/>
              <w:jc w:val="left"/>
              <w:textAlignment w:val="center"/>
              <w:rPr>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严格遵循数据安全、个保法等法规及重庆地</w:t>
            </w:r>
            <w:r>
              <w:rPr>
                <w:rFonts w:hint="eastAsia" w:ascii="仿宋" w:hAnsi="仿宋" w:eastAsia="仿宋" w:cs="仿宋"/>
                <w:sz w:val="24"/>
                <w:highlight w:val="none"/>
                <w:lang w:eastAsia="zh-CN"/>
              </w:rPr>
              <w:t>方性</w:t>
            </w:r>
            <w:r>
              <w:rPr>
                <w:rFonts w:hint="eastAsia" w:ascii="仿宋" w:hAnsi="仿宋" w:eastAsia="仿宋" w:cs="仿宋"/>
                <w:sz w:val="24"/>
                <w:highlight w:val="none"/>
              </w:rPr>
              <w:t>规范，贴合人大系统安全要求，确保服务全流程及交付结果合规。</w:t>
            </w:r>
          </w:p>
        </w:tc>
      </w:tr>
      <w:tr w14:paraId="20252162">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3875F8BC">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2</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321F559A">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软件供应链</w:t>
            </w:r>
          </w:p>
          <w:p w14:paraId="20D420C3">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安全测评</w:t>
            </w:r>
          </w:p>
        </w:tc>
        <w:tc>
          <w:tcPr>
            <w:tcW w:w="6134" w:type="dxa"/>
            <w:tcBorders>
              <w:top w:val="single" w:color="000000" w:sz="4" w:space="0"/>
              <w:left w:val="nil"/>
              <w:bottom w:val="single" w:color="000000" w:sz="4" w:space="0"/>
              <w:right w:val="single" w:color="000000" w:sz="4" w:space="0"/>
            </w:tcBorders>
            <w:vAlign w:val="center"/>
          </w:tcPr>
          <w:p w14:paraId="04F991DD">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全面覆盖系统开发期所有软件及组件，含开源、第三方、自研组件等，无测评盲区，确保覆盖完整。</w:t>
            </w:r>
          </w:p>
          <w:p w14:paraId="755D8786">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完成软件成分分析，识别组件信息及漏洞、许可证合规性，形成风险清单及高危组件整改方案。</w:t>
            </w:r>
          </w:p>
        </w:tc>
      </w:tr>
      <w:tr w14:paraId="739467C9">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4B7E7043">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3</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4CA59501">
            <w:pPr>
              <w:spacing w:line="240" w:lineRule="auto"/>
              <w:ind w:firstLine="0" w:firstLineChars="0"/>
              <w:jc w:val="center"/>
              <w:textAlignment w:val="center"/>
              <w:rPr>
                <w:rFonts w:cs="宋体"/>
                <w:color w:val="000000"/>
                <w:kern w:val="0"/>
                <w:sz w:val="22"/>
                <w:highlight w:val="none"/>
                <w:lang w:bidi="ar"/>
              </w:rPr>
            </w:pPr>
            <w:r>
              <w:rPr>
                <w:rFonts w:hint="eastAsia" w:cs="宋体"/>
                <w:color w:val="000000"/>
                <w:kern w:val="0"/>
                <w:sz w:val="22"/>
                <w:highlight w:val="none"/>
                <w:lang w:bidi="ar"/>
              </w:rPr>
              <w:t>数据安全评估服务</w:t>
            </w:r>
          </w:p>
        </w:tc>
        <w:tc>
          <w:tcPr>
            <w:tcW w:w="6134" w:type="dxa"/>
            <w:tcBorders>
              <w:top w:val="single" w:color="000000" w:sz="4" w:space="0"/>
              <w:left w:val="nil"/>
              <w:bottom w:val="single" w:color="000000" w:sz="4" w:space="0"/>
              <w:right w:val="single" w:color="000000" w:sz="4" w:space="0"/>
            </w:tcBorders>
            <w:vAlign w:val="center"/>
          </w:tcPr>
          <w:p w14:paraId="075218F7">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rPr>
              <w:t>依据数据安全相关法律法规和所属行业监管要求，结合客户应用系统的数据安全能力成熟度等级，从组织建设、制度流程、技术工具及人员能力对应用系统数据安全现状进行安全评估。</w:t>
            </w:r>
          </w:p>
        </w:tc>
      </w:tr>
      <w:tr w14:paraId="6E38459C">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1F5E82BB">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4</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07CA0B64">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数据安全分类分级服务</w:t>
            </w:r>
          </w:p>
        </w:tc>
        <w:tc>
          <w:tcPr>
            <w:tcW w:w="6134" w:type="dxa"/>
            <w:tcBorders>
              <w:top w:val="single" w:color="000000" w:sz="4" w:space="0"/>
              <w:left w:val="nil"/>
              <w:bottom w:val="single" w:color="000000" w:sz="4" w:space="0"/>
              <w:right w:val="single" w:color="000000" w:sz="4" w:space="0"/>
            </w:tcBorders>
            <w:vAlign w:val="center"/>
          </w:tcPr>
          <w:p w14:paraId="6D23AB6E">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遵循国家及重庆相关规范，结合人大系统业务特点，制定贴合实际、可落地的分类分级标准并经双方确认。</w:t>
            </w:r>
          </w:p>
          <w:p w14:paraId="0C748C55">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按数据重要程度及</w:t>
            </w:r>
            <w:r>
              <w:rPr>
                <w:rFonts w:hint="eastAsia" w:ascii="仿宋" w:hAnsi="仿宋" w:eastAsia="仿宋" w:cs="仿宋"/>
                <w:sz w:val="24"/>
                <w:highlight w:val="none"/>
                <w:lang w:eastAsia="zh-CN"/>
              </w:rPr>
              <w:t>泄漏</w:t>
            </w:r>
            <w:r>
              <w:rPr>
                <w:rFonts w:hint="eastAsia" w:ascii="仿宋" w:hAnsi="仿宋" w:eastAsia="仿宋" w:cs="仿宋"/>
                <w:sz w:val="24"/>
                <w:highlight w:val="none"/>
              </w:rPr>
              <w:t>影响分级，明确各级保护标准、访问权限及专项防护措施。</w:t>
            </w:r>
          </w:p>
        </w:tc>
      </w:tr>
      <w:tr w14:paraId="2B2F0A75">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7FD35C5E">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5</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6A8B7529">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数据安全技术服务</w:t>
            </w:r>
          </w:p>
        </w:tc>
        <w:tc>
          <w:tcPr>
            <w:tcW w:w="6134" w:type="dxa"/>
            <w:tcBorders>
              <w:top w:val="single" w:color="000000" w:sz="4" w:space="0"/>
              <w:left w:val="nil"/>
              <w:bottom w:val="single" w:color="000000" w:sz="4" w:space="0"/>
              <w:right w:val="single" w:color="000000" w:sz="4" w:space="0"/>
            </w:tcBorders>
            <w:vAlign w:val="center"/>
          </w:tcPr>
          <w:p w14:paraId="031A9F35">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每月开展漏洞扫描，全面检测系统设备、应用及数据库漏洞，明确等级、影响范围及修复建议。</w:t>
            </w:r>
          </w:p>
          <w:p w14:paraId="2F5A6AA7">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采用手动+工具结合方式开展渗透测试，模拟真实攻击，排查系统安全薄弱环节并提供加固方案。</w:t>
            </w:r>
          </w:p>
          <w:p w14:paraId="3ABA5D91">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识别系统内敏感数据，核查存储、访问情况，排查</w:t>
            </w:r>
            <w:r>
              <w:rPr>
                <w:rFonts w:hint="eastAsia" w:ascii="仿宋" w:hAnsi="仿宋" w:eastAsia="仿宋" w:cs="仿宋"/>
                <w:sz w:val="24"/>
                <w:highlight w:val="none"/>
                <w:lang w:eastAsia="zh-CN"/>
              </w:rPr>
              <w:t>泄漏</w:t>
            </w:r>
            <w:r>
              <w:rPr>
                <w:rFonts w:hint="eastAsia" w:ascii="仿宋" w:hAnsi="仿宋" w:eastAsia="仿宋" w:cs="仿宋"/>
                <w:sz w:val="24"/>
                <w:highlight w:val="none"/>
              </w:rPr>
              <w:t>、滥用风险，形成核查报告。</w:t>
            </w:r>
          </w:p>
          <w:p w14:paraId="1AA44671">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4.</w:t>
            </w:r>
            <w:r>
              <w:rPr>
                <w:rFonts w:hint="eastAsia" w:ascii="仿宋" w:hAnsi="仿宋" w:eastAsia="仿宋" w:cs="仿宋"/>
                <w:sz w:val="24"/>
                <w:highlight w:val="none"/>
              </w:rPr>
              <w:t>7×24小时提供应急支撑，接到安全事件后及时到场处置、溯源，完成系统恢复并提交报告。</w:t>
            </w:r>
          </w:p>
        </w:tc>
      </w:tr>
      <w:tr w14:paraId="596B88EB">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46B10731">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6</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06DB0BB">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数据安全治理服务</w:t>
            </w:r>
          </w:p>
        </w:tc>
        <w:tc>
          <w:tcPr>
            <w:tcW w:w="6134" w:type="dxa"/>
            <w:tcBorders>
              <w:top w:val="single" w:color="000000" w:sz="4" w:space="0"/>
              <w:left w:val="nil"/>
              <w:bottom w:val="single" w:color="000000" w:sz="4" w:space="0"/>
              <w:right w:val="single" w:color="000000" w:sz="4" w:space="0"/>
            </w:tcBorders>
            <w:vAlign w:val="center"/>
          </w:tcPr>
          <w:p w14:paraId="5B21A5D0">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全面梳理系统全域数据资产，明确权属、存储等信息，划分分类分级，建立可动态更新的资产台账。</w:t>
            </w:r>
          </w:p>
          <w:p w14:paraId="34E2F906">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结合系统需求，制定完善的数据安全管理制度及流程，明确岗位职责，确保可落地、可执行。</w:t>
            </w:r>
          </w:p>
          <w:p w14:paraId="02783A91">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开展日常安全监控及审计，记录操作日志，识别违规行为并及时处置，定期复盘优化治理体系。</w:t>
            </w:r>
          </w:p>
        </w:tc>
      </w:tr>
      <w:tr w14:paraId="67FB0A24">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0D707AB7">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7</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2F2072B5">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数据安全能力服务</w:t>
            </w:r>
          </w:p>
        </w:tc>
        <w:tc>
          <w:tcPr>
            <w:tcW w:w="6134" w:type="dxa"/>
            <w:tcBorders>
              <w:top w:val="single" w:color="000000" w:sz="4" w:space="0"/>
              <w:left w:val="nil"/>
              <w:bottom w:val="single" w:color="000000" w:sz="4" w:space="0"/>
              <w:right w:val="single" w:color="000000" w:sz="4" w:space="0"/>
            </w:tcBorders>
            <w:vAlign w:val="center"/>
          </w:tcPr>
          <w:p w14:paraId="0ADD5463">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rPr>
              <w:t>针对分类分级结果，对核心、重要数据实施专项防护，规范访问控制，防范越权访问。</w:t>
            </w:r>
          </w:p>
        </w:tc>
      </w:tr>
      <w:tr w14:paraId="2E67217C">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24C0FF6A">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8</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1B135469">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运维安全网关服务</w:t>
            </w:r>
          </w:p>
        </w:tc>
        <w:tc>
          <w:tcPr>
            <w:tcW w:w="6134" w:type="dxa"/>
            <w:tcBorders>
              <w:top w:val="single" w:color="000000" w:sz="4" w:space="0"/>
              <w:left w:val="nil"/>
              <w:bottom w:val="single" w:color="000000" w:sz="4" w:space="0"/>
              <w:right w:val="single" w:color="000000" w:sz="4" w:space="0"/>
            </w:tcBorders>
            <w:vAlign w:val="center"/>
          </w:tcPr>
          <w:p w14:paraId="4F99FDE3">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实现运维操作集中管控、身份统一认证，杜绝未授权运维访问。</w:t>
            </w:r>
          </w:p>
          <w:p w14:paraId="61ADBAB7">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具备细粒度权限管控能力，按岗位分配运维权限，实现最小权限原则，防范越权运维风险。</w:t>
            </w:r>
          </w:p>
          <w:p w14:paraId="60E0E2BC">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保障网关稳定运行，7×24小时实时监测，出现故障及时处置，确保运维服务不中断、安全可控。</w:t>
            </w:r>
          </w:p>
        </w:tc>
      </w:tr>
      <w:tr w14:paraId="6EEAC5E4">
        <w:tblPrEx>
          <w:tblCellMar>
            <w:top w:w="0" w:type="dxa"/>
            <w:left w:w="108" w:type="dxa"/>
            <w:bottom w:w="0" w:type="dxa"/>
            <w:right w:w="108" w:type="dxa"/>
          </w:tblCellMar>
        </w:tblPrEx>
        <w:trPr>
          <w:trHeight w:val="428" w:hRule="atLeast"/>
          <w:jc w:val="center"/>
        </w:trPr>
        <w:tc>
          <w:tcPr>
            <w:tcW w:w="804" w:type="dxa"/>
            <w:tcBorders>
              <w:top w:val="single" w:color="000000" w:sz="4" w:space="0"/>
              <w:left w:val="single" w:color="000000" w:sz="4" w:space="0"/>
              <w:bottom w:val="single" w:color="000000" w:sz="4" w:space="0"/>
              <w:right w:val="single" w:color="000000" w:sz="4" w:space="0"/>
            </w:tcBorders>
            <w:noWrap/>
            <w:vAlign w:val="center"/>
          </w:tcPr>
          <w:p w14:paraId="457C6E0F">
            <w:pPr>
              <w:widowControl/>
              <w:spacing w:line="400" w:lineRule="exact"/>
              <w:ind w:firstLine="0" w:firstLineChars="0"/>
              <w:jc w:val="center"/>
              <w:textAlignment w:val="center"/>
              <w:rPr>
                <w:rFonts w:ascii="仿宋" w:hAnsi="仿宋" w:eastAsia="仿宋" w:cs="仿宋"/>
                <w:sz w:val="24"/>
                <w:highlight w:val="none"/>
              </w:rPr>
            </w:pPr>
            <w:r>
              <w:rPr>
                <w:rFonts w:hint="eastAsia" w:ascii="仿宋" w:hAnsi="仿宋" w:eastAsia="仿宋" w:cs="仿宋"/>
                <w:sz w:val="24"/>
                <w:highlight w:val="none"/>
              </w:rPr>
              <w:t>9</w:t>
            </w:r>
          </w:p>
        </w:tc>
        <w:tc>
          <w:tcPr>
            <w:tcW w:w="2026" w:type="dxa"/>
            <w:tcBorders>
              <w:top w:val="single" w:color="000000" w:sz="4" w:space="0"/>
              <w:left w:val="nil"/>
              <w:bottom w:val="single" w:color="000000" w:sz="4" w:space="0"/>
              <w:right w:val="single" w:color="000000" w:sz="4" w:space="0"/>
            </w:tcBorders>
            <w:shd w:val="clear" w:color="auto" w:fill="auto"/>
            <w:noWrap/>
            <w:vAlign w:val="center"/>
          </w:tcPr>
          <w:p w14:paraId="51971163">
            <w:pPr>
              <w:spacing w:line="240" w:lineRule="auto"/>
              <w:ind w:firstLine="0" w:firstLineChars="0"/>
              <w:jc w:val="left"/>
              <w:textAlignment w:val="center"/>
              <w:rPr>
                <w:rFonts w:cs="宋体"/>
                <w:color w:val="000000"/>
                <w:kern w:val="0"/>
                <w:sz w:val="22"/>
                <w:highlight w:val="none"/>
                <w:lang w:bidi="ar"/>
              </w:rPr>
            </w:pPr>
            <w:r>
              <w:rPr>
                <w:rFonts w:hint="eastAsia" w:cs="宋体"/>
                <w:color w:val="000000"/>
                <w:kern w:val="0"/>
                <w:sz w:val="22"/>
                <w:highlight w:val="none"/>
                <w:lang w:bidi="ar"/>
              </w:rPr>
              <w:t>数据全流量安全监测服务</w:t>
            </w:r>
          </w:p>
        </w:tc>
        <w:tc>
          <w:tcPr>
            <w:tcW w:w="6134" w:type="dxa"/>
            <w:tcBorders>
              <w:top w:val="single" w:color="000000" w:sz="4" w:space="0"/>
              <w:left w:val="nil"/>
              <w:bottom w:val="single" w:color="000000" w:sz="4" w:space="0"/>
              <w:right w:val="single" w:color="000000" w:sz="4" w:space="0"/>
            </w:tcBorders>
            <w:vAlign w:val="center"/>
          </w:tcPr>
          <w:p w14:paraId="2B82D7EF">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1.</w:t>
            </w:r>
            <w:r>
              <w:rPr>
                <w:rFonts w:hint="eastAsia" w:ascii="仿宋" w:hAnsi="仿宋" w:eastAsia="仿宋" w:cs="仿宋"/>
                <w:sz w:val="24"/>
                <w:highlight w:val="none"/>
              </w:rPr>
              <w:t>覆盖系统所有网络出入口及内部数据流量，实时监测数据传输、访问、交互全流程，无监测盲区。</w:t>
            </w:r>
          </w:p>
          <w:p w14:paraId="55A2C4EA">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具备敏感数据识别、异常流量检测能力，可及时发现数据泄露、恶意攻击等异常行为并预警。</w:t>
            </w:r>
          </w:p>
          <w:p w14:paraId="60691DB9">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留存流量监测日志，明确日志格式、保存期限，贴合合规要求，为安全事件溯源提供支撑。</w:t>
            </w:r>
          </w:p>
          <w:p w14:paraId="3BA61E72">
            <w:pPr>
              <w:widowControl/>
              <w:spacing w:line="400" w:lineRule="exact"/>
              <w:ind w:firstLine="0" w:firstLineChars="0"/>
              <w:jc w:val="left"/>
              <w:textAlignment w:val="center"/>
              <w:rPr>
                <w:rFonts w:ascii="仿宋" w:hAnsi="仿宋" w:eastAsia="仿宋" w:cs="仿宋"/>
                <w:sz w:val="24"/>
                <w:highlight w:val="none"/>
              </w:rPr>
            </w:pPr>
            <w:r>
              <w:rPr>
                <w:rFonts w:hint="eastAsia" w:ascii="仿宋" w:hAnsi="仿宋" w:eastAsia="仿宋" w:cs="仿宋"/>
                <w:sz w:val="24"/>
                <w:highlight w:val="none"/>
                <w:lang w:eastAsia="zh-CN"/>
              </w:rPr>
              <w:t>4.</w:t>
            </w:r>
            <w:r>
              <w:rPr>
                <w:rFonts w:hint="eastAsia" w:ascii="仿宋" w:hAnsi="仿宋" w:eastAsia="仿宋" w:cs="仿宋"/>
                <w:sz w:val="24"/>
                <w:highlight w:val="none"/>
              </w:rPr>
              <w:t>定期分析监测数据，形成流量安全报告，识别潜在风险，提供针对性优化及防护建议。</w:t>
            </w:r>
          </w:p>
        </w:tc>
      </w:tr>
    </w:tbl>
    <w:p w14:paraId="3FB6AACC">
      <w:pPr>
        <w:numPr>
          <w:ilvl w:val="255"/>
          <w:numId w:val="0"/>
        </w:numPr>
        <w:ind w:firstLine="562" w:firstLineChars="200"/>
        <w:rPr>
          <w:rFonts w:ascii="Times New Roman"/>
          <w:b/>
          <w:bCs/>
          <w:highlight w:val="none"/>
        </w:rPr>
      </w:pPr>
      <w:r>
        <w:rPr>
          <w:rFonts w:hint="eastAsia" w:ascii="Times New Roman"/>
          <w:b/>
          <w:bCs/>
          <w:highlight w:val="none"/>
        </w:rPr>
        <w:t>三、服务要求及售后</w:t>
      </w:r>
    </w:p>
    <w:p w14:paraId="349C80DF">
      <w:pPr>
        <w:numPr>
          <w:ilvl w:val="255"/>
          <w:numId w:val="0"/>
        </w:numPr>
        <w:ind w:firstLine="560" w:firstLineChars="200"/>
        <w:rPr>
          <w:rFonts w:ascii="Times New Roman"/>
          <w:color w:val="auto"/>
          <w:highlight w:val="none"/>
        </w:rPr>
      </w:pPr>
      <w:r>
        <w:rPr>
          <w:rFonts w:hint="eastAsia" w:ascii="Times New Roman"/>
          <w:color w:val="auto"/>
          <w:highlight w:val="none"/>
        </w:rPr>
        <w:t>1.</w:t>
      </w:r>
      <w:r>
        <w:rPr>
          <w:rFonts w:hint="eastAsia" w:ascii="Times New Roman" w:hAnsi="Times New Roman"/>
          <w:color w:val="auto"/>
          <w:highlight w:val="none"/>
        </w:rPr>
        <w:t>售后服务：</w:t>
      </w:r>
      <w:r>
        <w:rPr>
          <w:rFonts w:hint="eastAsia" w:ascii="Times New Roman"/>
          <w:highlight w:val="none"/>
        </w:rPr>
        <w:t>自建设完成并通过最终验收之日起，提供一年的运维服务。</w:t>
      </w:r>
    </w:p>
    <w:p w14:paraId="310CBE1D">
      <w:pPr>
        <w:numPr>
          <w:ilvl w:val="255"/>
          <w:numId w:val="0"/>
        </w:numPr>
        <w:ind w:firstLine="560" w:firstLineChars="200"/>
        <w:rPr>
          <w:rFonts w:ascii="Times New Roman" w:hAnsi="Times New Roman"/>
          <w:color w:val="auto"/>
          <w:highlight w:val="none"/>
        </w:rPr>
      </w:pPr>
      <w:r>
        <w:rPr>
          <w:rFonts w:hint="eastAsia" w:ascii="Times New Roman"/>
          <w:color w:val="auto"/>
          <w:highlight w:val="none"/>
        </w:rPr>
        <w:t>2.</w:t>
      </w:r>
      <w:r>
        <w:rPr>
          <w:rFonts w:hint="eastAsia" w:ascii="Times New Roman" w:hAnsi="Times New Roman"/>
          <w:color w:val="auto"/>
          <w:highlight w:val="none"/>
        </w:rPr>
        <w:t>乙方在售后服务期内应当为甲方提供以下技术支持服务：</w:t>
      </w:r>
    </w:p>
    <w:p w14:paraId="39BD14B4">
      <w:pPr>
        <w:numPr>
          <w:ilvl w:val="255"/>
          <w:numId w:val="0"/>
        </w:numPr>
        <w:ind w:firstLine="560" w:firstLineChars="200"/>
        <w:rPr>
          <w:rFonts w:ascii="Times New Roman" w:hAnsi="Times New Roman"/>
          <w:color w:val="auto"/>
          <w:highlight w:val="none"/>
        </w:rPr>
      </w:pPr>
      <w:r>
        <w:rPr>
          <w:rFonts w:hint="eastAsia" w:ascii="Times New Roman"/>
          <w:color w:val="auto"/>
          <w:highlight w:val="none"/>
        </w:rPr>
        <w:t>（1）</w:t>
      </w:r>
      <w:r>
        <w:rPr>
          <w:rFonts w:hint="eastAsia" w:ascii="Times New Roman" w:hAnsi="Times New Roman"/>
          <w:color w:val="auto"/>
          <w:highlight w:val="none"/>
        </w:rPr>
        <w:t>乙方应当为甲方提供技术援助电话，解答甲方在使用中遇到的问题，及时为甲方提出解决问题的建议。</w:t>
      </w:r>
    </w:p>
    <w:p w14:paraId="1A555A7F">
      <w:pPr>
        <w:numPr>
          <w:ilvl w:val="255"/>
          <w:numId w:val="0"/>
        </w:numPr>
        <w:ind w:firstLine="560"/>
        <w:rPr>
          <w:rFonts w:ascii="Times New Roman" w:hAnsi="Times New Roman"/>
          <w:color w:val="auto"/>
          <w:highlight w:val="none"/>
        </w:rPr>
      </w:pPr>
      <w:r>
        <w:rPr>
          <w:rFonts w:hint="eastAsia" w:ascii="Times New Roman" w:hAnsi="Times New Roman"/>
          <w:color w:val="auto"/>
          <w:highlight w:val="none"/>
        </w:rPr>
        <w:t>（2）甲方遇到使用及技术问题，电话咨询不能解决的，乙方应在2小时内到达现场进行处理，确保产品正常工作；无法在2小时内解决的，应在4小时内提供备用产品，使甲方能够正常使用。</w:t>
      </w:r>
    </w:p>
    <w:p w14:paraId="5B7CD030">
      <w:pPr>
        <w:numPr>
          <w:ilvl w:val="255"/>
          <w:numId w:val="0"/>
        </w:numPr>
        <w:ind w:firstLine="560"/>
        <w:rPr>
          <w:rFonts w:ascii="Times New Roman" w:hAnsi="Times New Roman"/>
          <w:color w:val="auto"/>
          <w:highlight w:val="none"/>
        </w:rPr>
      </w:pPr>
      <w:r>
        <w:rPr>
          <w:rFonts w:hint="eastAsia" w:ascii="Times New Roman" w:hAnsi="Times New Roman"/>
          <w:color w:val="auto"/>
          <w:highlight w:val="none"/>
        </w:rPr>
        <w:t>（3）在质保期后，甲方需要继续由原乙方提供售后或运维服务的，乙方应以优惠价格提供服务。</w:t>
      </w:r>
    </w:p>
    <w:p w14:paraId="45AFEEA8">
      <w:pPr>
        <w:ind w:firstLine="560"/>
        <w:rPr>
          <w:rFonts w:ascii="Times New Roman" w:hAnsi="Times New Roman"/>
          <w:color w:val="auto"/>
          <w:highlight w:val="none"/>
        </w:rPr>
      </w:pPr>
      <w:r>
        <w:rPr>
          <w:rFonts w:hint="eastAsia" w:ascii="Times New Roman" w:hAnsi="Times New Roman"/>
          <w:color w:val="auto"/>
          <w:highlight w:val="none"/>
        </w:rPr>
        <w:t>3.服务期内，乙方应对甲方提供产品使用及维护的培训，应根据项目使用需求提供详细的培训方案。保证甲方能独立操作完成产品日常管理、使用、维护。乙方应在项目验收后，组织基础培训和应用系统培训。</w:t>
      </w:r>
    </w:p>
    <w:p w14:paraId="1C84818B">
      <w:pPr>
        <w:numPr>
          <w:ilvl w:val="255"/>
          <w:numId w:val="0"/>
        </w:numPr>
        <w:ind w:firstLine="562" w:firstLineChars="200"/>
        <w:rPr>
          <w:rFonts w:ascii="Times New Roman"/>
          <w:b/>
          <w:bCs/>
          <w:highlight w:val="none"/>
        </w:rPr>
      </w:pPr>
      <w:r>
        <w:rPr>
          <w:rFonts w:hint="eastAsia" w:ascii="Times New Roman"/>
          <w:b/>
          <w:bCs/>
          <w:highlight w:val="none"/>
        </w:rPr>
        <w:t>四、项目团队要求</w:t>
      </w:r>
    </w:p>
    <w:p w14:paraId="33ED0D2D">
      <w:pPr>
        <w:numPr>
          <w:ilvl w:val="255"/>
          <w:numId w:val="0"/>
        </w:numPr>
        <w:spacing w:line="580" w:lineRule="exact"/>
        <w:ind w:firstLine="560" w:firstLineChars="200"/>
        <w:rPr>
          <w:rFonts w:ascii="Times New Roman"/>
          <w:color w:val="auto"/>
          <w:highlight w:val="none"/>
        </w:rPr>
      </w:pPr>
      <w:r>
        <w:rPr>
          <w:rFonts w:hint="eastAsia" w:ascii="Times New Roman"/>
          <w:color w:val="auto"/>
          <w:highlight w:val="none"/>
        </w:rPr>
        <w:t>1.参选乙方须为本项目拟派的“现场+远程”服务团队，至少配置项目经理1人、信息安全工程师2人、渗透测试工程师1人。（注：配置人员为一人一岗，不得兼任）</w:t>
      </w:r>
    </w:p>
    <w:p w14:paraId="1CF5577B">
      <w:pPr>
        <w:numPr>
          <w:ilvl w:val="255"/>
          <w:numId w:val="0"/>
        </w:numPr>
        <w:spacing w:line="580" w:lineRule="exact"/>
        <w:ind w:firstLine="560" w:firstLineChars="200"/>
        <w:rPr>
          <w:rFonts w:ascii="Times New Roman"/>
          <w:b/>
          <w:bCs/>
          <w:highlight w:val="none"/>
        </w:rPr>
      </w:pPr>
      <w:r>
        <w:rPr>
          <w:rFonts w:hint="eastAsia" w:ascii="Times New Roman"/>
          <w:color w:val="auto"/>
          <w:highlight w:val="none"/>
        </w:rPr>
        <w:t>2.乙方技术团队须全程在甲方指定的地点和场所进行项目实施和运维工作。</w:t>
      </w:r>
    </w:p>
    <w:p w14:paraId="027A73B0">
      <w:pPr>
        <w:spacing w:line="580" w:lineRule="exact"/>
        <w:ind w:firstLine="562"/>
        <w:rPr>
          <w:rFonts w:ascii="Times New Roman"/>
          <w:b/>
          <w:bCs/>
          <w:highlight w:val="none"/>
        </w:rPr>
      </w:pPr>
      <w:r>
        <w:rPr>
          <w:rFonts w:hint="eastAsia" w:ascii="Times New Roman"/>
          <w:b/>
          <w:bCs/>
          <w:highlight w:val="none"/>
        </w:rPr>
        <w:t>五、服务期限及验收</w:t>
      </w:r>
    </w:p>
    <w:p w14:paraId="2EB4CC41">
      <w:pPr>
        <w:spacing w:line="580" w:lineRule="exact"/>
        <w:ind w:firstLine="560"/>
        <w:rPr>
          <w:rFonts w:ascii="Times New Roman"/>
          <w:highlight w:val="none"/>
        </w:rPr>
      </w:pPr>
      <w:r>
        <w:rPr>
          <w:rFonts w:hint="eastAsia" w:ascii="Times New Roman"/>
          <w:highlight w:val="none"/>
        </w:rPr>
        <w:t>1.服务期限：合同签订之日起至2026年6月20日，建设完成通过最终验收之日起提供一年运维服务。</w:t>
      </w:r>
    </w:p>
    <w:p w14:paraId="690C9E9F">
      <w:pPr>
        <w:spacing w:line="580" w:lineRule="exact"/>
        <w:ind w:firstLine="560"/>
        <w:rPr>
          <w:rFonts w:ascii="Times New Roman"/>
          <w:highlight w:val="none"/>
        </w:rPr>
      </w:pPr>
      <w:r>
        <w:rPr>
          <w:rFonts w:hint="eastAsia" w:ascii="Times New Roman"/>
          <w:highlight w:val="none"/>
        </w:rPr>
        <w:t>2.验收地点：甲方指定地点</w:t>
      </w:r>
    </w:p>
    <w:p w14:paraId="242E35C5">
      <w:pPr>
        <w:spacing w:line="560" w:lineRule="exact"/>
        <w:ind w:firstLine="560"/>
        <w:jc w:val="left"/>
        <w:rPr>
          <w:highlight w:val="none"/>
        </w:rPr>
      </w:pPr>
      <w:r>
        <w:rPr>
          <w:rFonts w:hint="eastAsia" w:ascii="Times New Roman"/>
          <w:highlight w:val="none"/>
        </w:rPr>
        <w:t>3</w:t>
      </w:r>
      <w:r>
        <w:rPr>
          <w:rFonts w:ascii="Times New Roman"/>
          <w:highlight w:val="none"/>
        </w:rPr>
        <w:t>.</w:t>
      </w:r>
      <w:r>
        <w:rPr>
          <w:rFonts w:hint="eastAsia" w:ascii="Times New Roman"/>
          <w:highlight w:val="none"/>
        </w:rPr>
        <w:t>考核方式</w:t>
      </w:r>
      <w:r>
        <w:rPr>
          <w:rFonts w:ascii="Times New Roman"/>
          <w:highlight w:val="none"/>
        </w:rPr>
        <w:t>：</w:t>
      </w:r>
      <w:r>
        <w:rPr>
          <w:rFonts w:hint="eastAsia" w:ascii="Times New Roman"/>
          <w:highlight w:val="none"/>
        </w:rPr>
        <w:t>合同服务期内，若乙方不满足甲方依据本合同所提使用要求，甲方有权要求乙方进行整改，乙方未能及时整改或规定时间内整改不到位，导致甲方或甲方客户被相关部门调度、通报、批评等，造成不良影响的，视情况每次扣除合同总金额的1%—2%，履约期内扣除的总计金额不得超过合同总金额的5%。</w:t>
      </w:r>
    </w:p>
    <w:p w14:paraId="1BD191A6">
      <w:pPr>
        <w:spacing w:line="580" w:lineRule="exact"/>
        <w:ind w:firstLine="560"/>
        <w:rPr>
          <w:rFonts w:ascii="Times New Roman"/>
          <w:highlight w:val="none"/>
        </w:rPr>
      </w:pPr>
      <w:r>
        <w:rPr>
          <w:rFonts w:hint="eastAsia" w:ascii="Times New Roman"/>
          <w:highlight w:val="none"/>
        </w:rPr>
        <w:t>4.验收方式：</w:t>
      </w:r>
    </w:p>
    <w:p w14:paraId="6F358A6B">
      <w:pPr>
        <w:spacing w:line="580" w:lineRule="exact"/>
        <w:ind w:firstLine="560"/>
        <w:rPr>
          <w:rFonts w:ascii="Times New Roman"/>
          <w:highlight w:val="none"/>
        </w:rPr>
      </w:pPr>
      <w:r>
        <w:rPr>
          <w:rFonts w:hint="eastAsia" w:ascii="Times New Roman"/>
          <w:highlight w:val="none"/>
        </w:rPr>
        <w:t>验收方式、条件和内容参照《重庆市政务数字化应用开发操作指南（2025年版）</w:t>
      </w:r>
      <w:r>
        <w:rPr>
          <w:rFonts w:hint="eastAsia" w:ascii="Times New Roman"/>
          <w:highlight w:val="none"/>
          <w:lang w:eastAsia="zh-CN"/>
        </w:rPr>
        <w:t>》和</w:t>
      </w:r>
      <w:r>
        <w:rPr>
          <w:rFonts w:hint="eastAsia" w:ascii="Times New Roman"/>
          <w:highlight w:val="none"/>
        </w:rPr>
        <w:t>《财政部关于进一步加强政府采购需求和履约验收管理的指导意见》（财库（2016</w:t>
      </w:r>
      <w:r>
        <w:rPr>
          <w:rFonts w:hint="eastAsia" w:ascii="Times New Roman"/>
          <w:highlight w:val="none"/>
          <w:lang w:eastAsia="zh-CN"/>
        </w:rPr>
        <w:t>）</w:t>
      </w:r>
      <w:r>
        <w:rPr>
          <w:rFonts w:hint="eastAsia" w:ascii="Times New Roman"/>
          <w:highlight w:val="none"/>
        </w:rPr>
        <w:t xml:space="preserve"> 205 号）执行，若在项目验收前出台了最新标准，则按照最新标准执行。</w:t>
      </w:r>
    </w:p>
    <w:p w14:paraId="658B1C2B">
      <w:pPr>
        <w:spacing w:line="580" w:lineRule="exact"/>
        <w:ind w:firstLine="560"/>
        <w:rPr>
          <w:rFonts w:ascii="Times New Roman"/>
          <w:highlight w:val="none"/>
        </w:rPr>
      </w:pPr>
      <w:r>
        <w:rPr>
          <w:rFonts w:hint="eastAsia" w:ascii="Times New Roman"/>
          <w:highlight w:val="none"/>
        </w:rPr>
        <w:t>项目初步验收：自本合同签署之日起2026年6月20日，乙方满足初步验收的标准（完成合同内约定的所有建设任务、并与重庆市公共数据资源管理系统、一体化智能化公共数据平台、三级城市运行与治理中心、基层智治平台的适配及联调联试达到初步验收标准）经测试合格且能满足系统运行要求，方可进行项目初步验收，初步验收后项目进入试运行阶段。</w:t>
      </w:r>
    </w:p>
    <w:p w14:paraId="4A40CA12">
      <w:pPr>
        <w:spacing w:line="580" w:lineRule="exact"/>
        <w:ind w:firstLine="560"/>
        <w:rPr>
          <w:rFonts w:ascii="Times New Roman"/>
          <w:highlight w:val="none"/>
        </w:rPr>
      </w:pPr>
      <w:r>
        <w:rPr>
          <w:rFonts w:hint="eastAsia" w:ascii="Times New Roman"/>
          <w:highlight w:val="none"/>
        </w:rPr>
        <w:t>项目最终验收：初步验收完成且试运行满90个日历日后，项目满足最终验收的要求（符合《重庆市政务数字化应用开发操作指南（2025年版）》及数字重庆建设的相关要求，并符合信息安全等级保护测评（三级）、软件测评、密码应用安全性评估要求）后，方可进行项目最终验收。</w:t>
      </w:r>
    </w:p>
    <w:p w14:paraId="5973217C">
      <w:pPr>
        <w:ind w:firstLine="562"/>
        <w:rPr>
          <w:rFonts w:ascii="Times New Roman"/>
          <w:b/>
          <w:bCs/>
          <w:highlight w:val="none"/>
        </w:rPr>
      </w:pPr>
      <w:r>
        <w:rPr>
          <w:rFonts w:hint="eastAsia" w:ascii="Times New Roman"/>
          <w:b/>
          <w:bCs/>
          <w:highlight w:val="none"/>
        </w:rPr>
        <w:t>六、费用及支付方式</w:t>
      </w:r>
    </w:p>
    <w:p w14:paraId="30D86691">
      <w:pPr>
        <w:ind w:firstLine="560"/>
        <w:rPr>
          <w:rFonts w:ascii="Times New Roman"/>
          <w:highlight w:val="none"/>
        </w:rPr>
      </w:pPr>
      <w:bookmarkStart w:id="197" w:name="_Hlk145671067"/>
      <w:bookmarkStart w:id="198" w:name="_Hlk145671038"/>
      <w:r>
        <w:rPr>
          <w:rFonts w:hint="eastAsia" w:ascii="Times New Roman"/>
          <w:highlight w:val="none"/>
        </w:rPr>
        <w:t>1.本合同总价为人民币大写：</w:t>
      </w:r>
      <w:r>
        <w:rPr>
          <w:rFonts w:hint="eastAsia" w:ascii="Times New Roman"/>
          <w:highlight w:val="none"/>
          <w:u w:val="single"/>
        </w:rPr>
        <w:t>XXX</w:t>
      </w:r>
      <w:r>
        <w:rPr>
          <w:rFonts w:hint="eastAsia" w:ascii="Times New Roman"/>
          <w:b/>
          <w:bCs/>
          <w:highlight w:val="none"/>
          <w:u w:val="single"/>
        </w:rPr>
        <w:t>整</w:t>
      </w:r>
      <w:r>
        <w:rPr>
          <w:rFonts w:hint="eastAsia" w:ascii="Times New Roman"/>
          <w:highlight w:val="none"/>
        </w:rPr>
        <w:t>（小写：</w:t>
      </w:r>
      <w:r>
        <w:rPr>
          <w:rFonts w:hint="eastAsia" w:ascii="Times New Roman"/>
          <w:b/>
          <w:bCs/>
          <w:highlight w:val="none"/>
        </w:rPr>
        <w:t>￥XXX</w:t>
      </w:r>
      <w:r>
        <w:rPr>
          <w:rFonts w:hint="eastAsia" w:ascii="Times New Roman"/>
          <w:highlight w:val="none"/>
        </w:rPr>
        <w:t>元）。合同价格为含税价，除本合同另有明确约定外，甲方无须再向乙方或第三方支付任何费用。发票类型为增值税专用/普通发票，税率：X</w:t>
      </w:r>
      <w:r>
        <w:rPr>
          <w:rFonts w:hint="eastAsia" w:ascii="Times New Roman"/>
          <w:b/>
          <w:bCs/>
          <w:highlight w:val="none"/>
        </w:rPr>
        <w:t>%</w:t>
      </w:r>
      <w:r>
        <w:rPr>
          <w:rFonts w:hint="eastAsia" w:ascii="Times New Roman"/>
          <w:highlight w:val="none"/>
        </w:rPr>
        <w:t>。</w:t>
      </w:r>
    </w:p>
    <w:p w14:paraId="78E39E51">
      <w:pPr>
        <w:ind w:firstLine="560"/>
        <w:rPr>
          <w:rFonts w:ascii="Times New Roman"/>
          <w:highlight w:val="none"/>
        </w:rPr>
      </w:pPr>
      <w:r>
        <w:rPr>
          <w:rFonts w:hint="eastAsia" w:ascii="Times New Roman"/>
          <w:highlight w:val="none"/>
        </w:rPr>
        <w:t>2.支付方式：</w:t>
      </w:r>
      <w:bookmarkEnd w:id="197"/>
      <w:bookmarkEnd w:id="198"/>
    </w:p>
    <w:p w14:paraId="4F3D7ADE">
      <w:pPr>
        <w:ind w:firstLine="560"/>
        <w:rPr>
          <w:rFonts w:ascii="Times New Roman"/>
          <w:highlight w:val="none"/>
        </w:rPr>
      </w:pPr>
      <w:r>
        <w:rPr>
          <w:rFonts w:hint="eastAsia" w:ascii="Times New Roman"/>
          <w:highlight w:val="none"/>
        </w:rPr>
        <w:t>（1）合同签订后30个工作日内，甲方收到乙方开具的对应金额的增值税专用/普通发票（税率：X%），按相关流程进行审批后的15个工作日内，向乙方支付合同总金额的50%作为预付款，即人民币大写：</w:t>
      </w:r>
      <w:r>
        <w:rPr>
          <w:rFonts w:hint="eastAsia" w:ascii="Times New Roman"/>
          <w:b/>
          <w:bCs/>
          <w:highlight w:val="none"/>
          <w:u w:val="single"/>
        </w:rPr>
        <w:t>XXX元整</w:t>
      </w:r>
      <w:r>
        <w:rPr>
          <w:rFonts w:hint="eastAsia" w:ascii="Times New Roman"/>
          <w:highlight w:val="none"/>
        </w:rPr>
        <w:t>（小写：</w:t>
      </w:r>
      <w:r>
        <w:rPr>
          <w:rFonts w:hint="eastAsia" w:ascii="Times New Roman"/>
          <w:b/>
          <w:bCs/>
          <w:highlight w:val="none"/>
        </w:rPr>
        <w:t>￥XXX</w:t>
      </w:r>
      <w:r>
        <w:rPr>
          <w:rFonts w:hint="eastAsia" w:ascii="Times New Roman"/>
          <w:highlight w:val="none"/>
        </w:rPr>
        <w:t>元）。</w:t>
      </w:r>
    </w:p>
    <w:p w14:paraId="049F70CB">
      <w:pPr>
        <w:ind w:firstLine="560"/>
        <w:rPr>
          <w:rFonts w:ascii="Times New Roman"/>
          <w:highlight w:val="none"/>
        </w:rPr>
      </w:pPr>
      <w:r>
        <w:rPr>
          <w:rFonts w:hint="eastAsia" w:ascii="Times New Roman"/>
          <w:highlight w:val="none"/>
        </w:rPr>
        <w:t>（2）项目完成初步验收之日起30个工作日内，甲方收到乙方开具的对应金额的增值税专用/普通发票（税率：X%），按相关流程进行审批后的15个工作日内，向乙方支付合同金额的30%，即人民币大写：</w:t>
      </w:r>
      <w:r>
        <w:rPr>
          <w:rFonts w:hint="eastAsia" w:ascii="Times New Roman"/>
          <w:b/>
          <w:bCs/>
          <w:highlight w:val="none"/>
          <w:u w:val="single"/>
        </w:rPr>
        <w:t>XXX元整</w:t>
      </w:r>
      <w:r>
        <w:rPr>
          <w:rFonts w:hint="eastAsia" w:ascii="Times New Roman"/>
          <w:highlight w:val="none"/>
        </w:rPr>
        <w:t>（小写：</w:t>
      </w:r>
      <w:r>
        <w:rPr>
          <w:rFonts w:hint="eastAsia" w:ascii="Times New Roman"/>
          <w:b/>
          <w:bCs/>
          <w:highlight w:val="none"/>
        </w:rPr>
        <w:t>￥XXX</w:t>
      </w:r>
      <w:r>
        <w:rPr>
          <w:rFonts w:hint="eastAsia" w:ascii="Times New Roman"/>
          <w:highlight w:val="none"/>
        </w:rPr>
        <w:t>元）。</w:t>
      </w:r>
    </w:p>
    <w:p w14:paraId="73B6BC90">
      <w:pPr>
        <w:ind w:firstLine="560"/>
        <w:rPr>
          <w:rFonts w:ascii="Times New Roman"/>
          <w:highlight w:val="none"/>
        </w:rPr>
      </w:pPr>
      <w:r>
        <w:rPr>
          <w:rFonts w:hint="eastAsia" w:ascii="Times New Roman"/>
          <w:highlight w:val="none"/>
        </w:rPr>
        <w:t>（3）项目试运行期结束并最终验收合格后30个工作日内，甲方收到乙方开具的对应金额的增值税专用/普通发票（税率：X%），按相关流程进行审批后的15个工作日内，向乙方支付合同金额的15%，即人民币大写：</w:t>
      </w:r>
      <w:r>
        <w:rPr>
          <w:rFonts w:hint="eastAsia" w:ascii="Times New Roman"/>
          <w:b/>
          <w:bCs/>
          <w:highlight w:val="none"/>
          <w:u w:val="single"/>
        </w:rPr>
        <w:t>XXX元整</w:t>
      </w:r>
      <w:r>
        <w:rPr>
          <w:rFonts w:hint="eastAsia" w:ascii="Times New Roman"/>
          <w:highlight w:val="none"/>
        </w:rPr>
        <w:t>（小写：</w:t>
      </w:r>
      <w:r>
        <w:rPr>
          <w:rFonts w:hint="eastAsia" w:ascii="Times New Roman"/>
          <w:b/>
          <w:bCs/>
          <w:highlight w:val="none"/>
        </w:rPr>
        <w:t>￥XXX</w:t>
      </w:r>
      <w:r>
        <w:rPr>
          <w:rFonts w:hint="eastAsia" w:ascii="Times New Roman"/>
          <w:highlight w:val="none"/>
        </w:rPr>
        <w:t>元）。</w:t>
      </w:r>
    </w:p>
    <w:p w14:paraId="446CCF95">
      <w:pPr>
        <w:ind w:firstLine="560"/>
        <w:rPr>
          <w:rFonts w:ascii="Times New Roman"/>
          <w:highlight w:val="none"/>
        </w:rPr>
      </w:pPr>
      <w:r>
        <w:rPr>
          <w:rFonts w:hint="eastAsia" w:ascii="Times New Roman"/>
          <w:highlight w:val="none"/>
        </w:rPr>
        <w:t>（4）</w:t>
      </w:r>
      <w:r>
        <w:rPr>
          <w:rFonts w:hint="eastAsia"/>
          <w:color w:val="000000"/>
          <w:szCs w:val="28"/>
          <w:highlight w:val="none"/>
        </w:rPr>
        <w:t>免费运维期结束</w:t>
      </w:r>
      <w:r>
        <w:rPr>
          <w:rFonts w:hint="eastAsia" w:ascii="Times New Roman"/>
          <w:highlight w:val="none"/>
        </w:rPr>
        <w:t>后30个工作日内，甲方收到乙方开具的对应金额的增值税专用/普通发票（税率：X%），按相关流程进行审批后的15个工作日内，向乙方支付合同金额的5%，即人民币大写：</w:t>
      </w:r>
      <w:r>
        <w:rPr>
          <w:rFonts w:hint="eastAsia" w:ascii="Times New Roman"/>
          <w:b/>
          <w:bCs/>
          <w:highlight w:val="none"/>
          <w:u w:val="single"/>
        </w:rPr>
        <w:t>XXX元整</w:t>
      </w:r>
      <w:r>
        <w:rPr>
          <w:rFonts w:hint="eastAsia" w:ascii="Times New Roman"/>
          <w:highlight w:val="none"/>
        </w:rPr>
        <w:t>（小写：</w:t>
      </w:r>
      <w:r>
        <w:rPr>
          <w:rFonts w:hint="eastAsia" w:ascii="Times New Roman"/>
          <w:b/>
          <w:bCs/>
          <w:highlight w:val="none"/>
        </w:rPr>
        <w:t>￥XXX</w:t>
      </w:r>
      <w:r>
        <w:rPr>
          <w:rFonts w:hint="eastAsia" w:ascii="Times New Roman"/>
          <w:highlight w:val="none"/>
        </w:rPr>
        <w:t>元）。</w:t>
      </w:r>
    </w:p>
    <w:p w14:paraId="1D6456EE">
      <w:pPr>
        <w:ind w:firstLine="560"/>
        <w:rPr>
          <w:rFonts w:ascii="Times New Roman"/>
          <w:highlight w:val="none"/>
        </w:rPr>
      </w:pPr>
      <w:r>
        <w:rPr>
          <w:rFonts w:hint="eastAsia" w:ascii="Times New Roman"/>
          <w:highlight w:val="none"/>
        </w:rPr>
        <w:t>3.乙方应于甲方支付合同款项前向甲方提供与合同约定金额对应的技术服务增值税发票，否则甲方有权拒绝付款并不承担任何违约责任，同时乙方仍应按合同约定及甲方要求向甲方提供服务，否则应向甲方承担违约责任及赔偿责任。</w:t>
      </w:r>
    </w:p>
    <w:p w14:paraId="7864E42B">
      <w:pPr>
        <w:ind w:firstLine="560"/>
        <w:rPr>
          <w:rFonts w:ascii="Times New Roman"/>
          <w:highlight w:val="none"/>
        </w:rPr>
      </w:pPr>
      <w:r>
        <w:rPr>
          <w:rFonts w:hint="eastAsia" w:ascii="Times New Roman"/>
          <w:highlight w:val="none"/>
        </w:rPr>
        <w:t>4.本合同所涉款项均采用转账付款，乙方指定的收款账户信息为：</w:t>
      </w:r>
    </w:p>
    <w:p w14:paraId="2D67AD19">
      <w:pPr>
        <w:ind w:firstLine="560"/>
        <w:rPr>
          <w:highlight w:val="none"/>
        </w:rPr>
      </w:pPr>
      <w:r>
        <w:rPr>
          <w:rFonts w:hint="eastAsia" w:ascii="Times New Roman"/>
          <w:highlight w:val="none"/>
        </w:rPr>
        <w:t>XXXXXXXXX</w:t>
      </w:r>
    </w:p>
    <w:p w14:paraId="7D685A3E">
      <w:pPr>
        <w:ind w:firstLine="560"/>
        <w:rPr>
          <w:rFonts w:ascii="Times New Roman"/>
          <w:highlight w:val="none"/>
        </w:rPr>
      </w:pPr>
      <w:r>
        <w:rPr>
          <w:rFonts w:hint="eastAsia" w:ascii="Times New Roman"/>
          <w:highlight w:val="none"/>
        </w:rPr>
        <w:t>上述汇款信息如有变更，乙方须于甲方付款前至少提前五个工作日书面通知甲方变更，否则因此导致的后果由乙方自行承担。</w:t>
      </w:r>
    </w:p>
    <w:p w14:paraId="275AE546">
      <w:pPr>
        <w:ind w:firstLine="560"/>
        <w:rPr>
          <w:rFonts w:ascii="Times New Roman"/>
          <w:highlight w:val="none"/>
        </w:rPr>
      </w:pPr>
      <w:r>
        <w:rPr>
          <w:rFonts w:hint="eastAsia" w:ascii="Times New Roman"/>
          <w:highlight w:val="none"/>
        </w:rPr>
        <w:t>5.甲方开票信息如下：</w:t>
      </w:r>
    </w:p>
    <w:p w14:paraId="651A85DE">
      <w:pPr>
        <w:ind w:firstLine="560"/>
        <w:rPr>
          <w:rFonts w:ascii="Times New Roman"/>
          <w:highlight w:val="none"/>
        </w:rPr>
      </w:pPr>
      <w:r>
        <w:rPr>
          <w:rFonts w:hint="eastAsia" w:ascii="Times New Roman"/>
          <w:highlight w:val="none"/>
        </w:rPr>
        <w:t>单位名称：重庆华龙网集团股份有限公司</w:t>
      </w:r>
    </w:p>
    <w:p w14:paraId="458E94E0">
      <w:pPr>
        <w:ind w:firstLine="560"/>
        <w:rPr>
          <w:rFonts w:ascii="Times New Roman"/>
          <w:highlight w:val="none"/>
        </w:rPr>
      </w:pPr>
      <w:r>
        <w:rPr>
          <w:rFonts w:hint="eastAsia" w:ascii="Times New Roman"/>
          <w:highlight w:val="none"/>
        </w:rPr>
        <w:t>纳税人识别号：91500000765916977A</w:t>
      </w:r>
    </w:p>
    <w:p w14:paraId="09F23F8D">
      <w:pPr>
        <w:ind w:firstLine="560"/>
        <w:rPr>
          <w:rFonts w:ascii="Times New Roman"/>
          <w:highlight w:val="none"/>
        </w:rPr>
      </w:pPr>
      <w:r>
        <w:rPr>
          <w:rFonts w:hint="eastAsia" w:ascii="Times New Roman"/>
          <w:highlight w:val="none"/>
        </w:rPr>
        <w:t>单位地址、电话：重庆市两江新区金开大道西段106号10栋移动新媒体产业大厦    023-60368188</w:t>
      </w:r>
    </w:p>
    <w:p w14:paraId="2D7CC676">
      <w:pPr>
        <w:ind w:firstLine="560"/>
        <w:rPr>
          <w:rFonts w:ascii="Times New Roman"/>
          <w:highlight w:val="none"/>
        </w:rPr>
      </w:pPr>
      <w:r>
        <w:rPr>
          <w:rFonts w:hint="eastAsia" w:ascii="Times New Roman"/>
          <w:highlight w:val="none"/>
        </w:rPr>
        <w:t>开户行及账号：中国工商银行重庆西湖路支行  3100022609100040872</w:t>
      </w:r>
      <w:bookmarkStart w:id="199" w:name="_Hlk126248105"/>
    </w:p>
    <w:bookmarkEnd w:id="199"/>
    <w:p w14:paraId="7F63620A">
      <w:pPr>
        <w:spacing w:line="550" w:lineRule="exact"/>
        <w:ind w:firstLine="562"/>
        <w:jc w:val="left"/>
        <w:rPr>
          <w:rFonts w:ascii="方正仿宋_GBK"/>
          <w:b/>
          <w:bCs/>
          <w:szCs w:val="28"/>
          <w:highlight w:val="none"/>
        </w:rPr>
      </w:pPr>
      <w:r>
        <w:rPr>
          <w:rFonts w:hint="eastAsia" w:ascii="方正仿宋_GBK"/>
          <w:b/>
          <w:bCs/>
          <w:szCs w:val="28"/>
          <w:highlight w:val="none"/>
        </w:rPr>
        <w:t>五、权利义务</w:t>
      </w:r>
    </w:p>
    <w:p w14:paraId="22B50887">
      <w:pPr>
        <w:ind w:firstLine="560"/>
        <w:rPr>
          <w:rFonts w:ascii="Times New Roman"/>
          <w:highlight w:val="none"/>
        </w:rPr>
      </w:pPr>
      <w:r>
        <w:rPr>
          <w:rFonts w:hint="eastAsia" w:ascii="Times New Roman"/>
          <w:highlight w:val="none"/>
        </w:rPr>
        <w:t>XXXXXXXXXXXXXXXX</w:t>
      </w:r>
    </w:p>
    <w:p w14:paraId="1614F64B">
      <w:pPr>
        <w:spacing w:line="550" w:lineRule="exact"/>
        <w:ind w:firstLine="562"/>
        <w:jc w:val="left"/>
        <w:rPr>
          <w:rFonts w:ascii="方正仿宋_GBK"/>
          <w:b/>
          <w:bCs/>
          <w:szCs w:val="28"/>
          <w:highlight w:val="none"/>
        </w:rPr>
      </w:pPr>
      <w:r>
        <w:rPr>
          <w:rFonts w:hint="eastAsia" w:ascii="方正仿宋_GBK"/>
          <w:b/>
          <w:bCs/>
          <w:szCs w:val="28"/>
          <w:highlight w:val="none"/>
        </w:rPr>
        <w:t>六、违约责任</w:t>
      </w:r>
    </w:p>
    <w:p w14:paraId="3D394728">
      <w:pPr>
        <w:ind w:firstLine="560"/>
        <w:rPr>
          <w:rFonts w:ascii="Times New Roman"/>
          <w:highlight w:val="none"/>
        </w:rPr>
      </w:pPr>
      <w:r>
        <w:rPr>
          <w:rFonts w:hint="eastAsia" w:ascii="Times New Roman"/>
          <w:highlight w:val="none"/>
        </w:rPr>
        <w:t>XXXXXXXXXXXXXXXX</w:t>
      </w:r>
    </w:p>
    <w:p w14:paraId="596B8DF1">
      <w:pPr>
        <w:spacing w:line="550" w:lineRule="exact"/>
        <w:ind w:firstLine="562"/>
        <w:jc w:val="left"/>
        <w:rPr>
          <w:rFonts w:ascii="方正仿宋_GBK"/>
          <w:b/>
          <w:bCs/>
          <w:szCs w:val="28"/>
          <w:highlight w:val="none"/>
        </w:rPr>
      </w:pPr>
      <w:r>
        <w:rPr>
          <w:rFonts w:hint="eastAsia" w:ascii="方正仿宋_GBK"/>
          <w:b/>
          <w:bCs/>
          <w:szCs w:val="28"/>
          <w:highlight w:val="none"/>
        </w:rPr>
        <w:t>七、知识产权</w:t>
      </w:r>
    </w:p>
    <w:p w14:paraId="7FD99AA0">
      <w:pPr>
        <w:ind w:firstLine="560"/>
        <w:rPr>
          <w:rFonts w:ascii="Times New Roman"/>
          <w:highlight w:val="none"/>
        </w:rPr>
      </w:pPr>
      <w:r>
        <w:rPr>
          <w:rFonts w:hint="eastAsia" w:ascii="Times New Roman"/>
          <w:highlight w:val="none"/>
        </w:rPr>
        <w:t>1.甲方在中华人民共和国境内使用乙方提供的货物及服务时免受第三方提出的侵犯其专利权或其他知识产权的起诉。如果第三方提出侵权指控，乙方应承担由此而引起的一切法律责任和费用。</w:t>
      </w:r>
    </w:p>
    <w:p w14:paraId="76CF5BEA">
      <w:pPr>
        <w:ind w:firstLine="560"/>
        <w:rPr>
          <w:rFonts w:ascii="Times New Roman"/>
          <w:highlight w:val="none"/>
        </w:rPr>
      </w:pPr>
      <w:r>
        <w:rPr>
          <w:rFonts w:hint="eastAsia" w:ascii="Times New Roman"/>
          <w:highlight w:val="none"/>
        </w:rPr>
        <w:t>2.乙方保证向甲方交付的货物、软件、技术资料、服务内容等，不会侵犯 任何第三人的专利权、著作权、商标权、商业秘密、其他知识产权或者其他民事 权利。如乙方违反上述规定，则乙方应负责消除甲方拥有并使用乙方交付的货物、软件、技术资料等所存在的全部法律障碍，并赔偿甲方的损失。</w:t>
      </w:r>
    </w:p>
    <w:p w14:paraId="0F2BA8BD">
      <w:pPr>
        <w:ind w:firstLine="560"/>
        <w:rPr>
          <w:rFonts w:ascii="Times New Roman"/>
          <w:highlight w:val="none"/>
        </w:rPr>
      </w:pPr>
      <w:r>
        <w:rPr>
          <w:rFonts w:hint="eastAsia" w:ascii="Times New Roman"/>
          <w:highlight w:val="none"/>
        </w:rPr>
        <w:t>3.在未征得甲方事先书面同意的情况下，乙方不得擅自转让本项目产生的成果，不得在公开场合发表、发布及使用。</w:t>
      </w:r>
    </w:p>
    <w:p w14:paraId="18F50A78">
      <w:pPr>
        <w:ind w:firstLine="560"/>
        <w:rPr>
          <w:rFonts w:ascii="Times New Roman"/>
          <w:highlight w:val="none"/>
        </w:rPr>
      </w:pPr>
      <w:r>
        <w:rPr>
          <w:rFonts w:hint="eastAsia" w:ascii="Times New Roman"/>
          <w:highlight w:val="none"/>
        </w:rPr>
        <w:t>XXXXXXXXXXXXXXXX</w:t>
      </w:r>
    </w:p>
    <w:p w14:paraId="0B9F4CBA">
      <w:pPr>
        <w:spacing w:line="550" w:lineRule="exact"/>
        <w:ind w:firstLine="562"/>
        <w:jc w:val="left"/>
        <w:rPr>
          <w:rFonts w:ascii="方正仿宋_GBK"/>
          <w:b/>
          <w:bCs/>
          <w:szCs w:val="28"/>
          <w:highlight w:val="none"/>
        </w:rPr>
      </w:pPr>
      <w:r>
        <w:rPr>
          <w:rFonts w:hint="eastAsia" w:ascii="方正仿宋_GBK"/>
          <w:b/>
          <w:bCs/>
          <w:szCs w:val="28"/>
          <w:highlight w:val="none"/>
        </w:rPr>
        <w:t>八、保密条款</w:t>
      </w:r>
    </w:p>
    <w:p w14:paraId="72A8D4D0">
      <w:pPr>
        <w:ind w:firstLine="560"/>
        <w:rPr>
          <w:rFonts w:ascii="Times New Roman"/>
          <w:highlight w:val="none"/>
        </w:rPr>
      </w:pPr>
      <w:r>
        <w:rPr>
          <w:rFonts w:hint="eastAsia" w:ascii="Times New Roman"/>
          <w:highlight w:val="none"/>
        </w:rPr>
        <w:t>1.自合同签订之日起，乙方有责任对甲方通过口头、书面、电子或其他方式提供的各种技术文件（软件、咨询报告、服务内容）以及工作业务信息进行保密，未经甲方书面批准不得提供给第三方。如有违反，乙方应承担相应的法律责任。</w:t>
      </w:r>
    </w:p>
    <w:p w14:paraId="5CD09011">
      <w:pPr>
        <w:ind w:firstLine="560"/>
        <w:rPr>
          <w:rFonts w:ascii="Times New Roman"/>
          <w:highlight w:val="none"/>
        </w:rPr>
      </w:pPr>
      <w:r>
        <w:rPr>
          <w:rFonts w:hint="eastAsia" w:ascii="Times New Roman"/>
          <w:highlight w:val="none"/>
        </w:rPr>
        <w:t>2.签订合同的同时，乙方必须与甲方签订《安全保密协议》，此保密协议所规定的保密义务不因本合同的终止而免除。乙方或其员工如违反《安全保密协议》，造成甲方信息泄露，乙方必须承担全部责任并赔偿甲方的一切损失，甲方有权追究乙方的法律责任并终止合同。</w:t>
      </w:r>
    </w:p>
    <w:p w14:paraId="7D3CC018">
      <w:pPr>
        <w:ind w:firstLine="560"/>
        <w:rPr>
          <w:rFonts w:ascii="Times New Roman"/>
          <w:highlight w:val="none"/>
        </w:rPr>
      </w:pPr>
      <w:r>
        <w:rPr>
          <w:rFonts w:hint="eastAsia" w:ascii="Times New Roman"/>
          <w:highlight w:val="none"/>
        </w:rPr>
        <w:t>3.在建设过程中，乙方应组织所有项目组成员进行安全和保密培训，增强所有参与项目的人员安全和保密意识。</w:t>
      </w:r>
    </w:p>
    <w:p w14:paraId="184AEB7B">
      <w:pPr>
        <w:ind w:firstLine="560"/>
        <w:rPr>
          <w:rFonts w:ascii="Times New Roman"/>
          <w:highlight w:val="none"/>
        </w:rPr>
      </w:pPr>
      <w:r>
        <w:rPr>
          <w:rFonts w:hint="eastAsia" w:ascii="Times New Roman"/>
          <w:highlight w:val="none"/>
        </w:rPr>
        <w:t>XXXXXXXXXXXXXXXX</w:t>
      </w:r>
    </w:p>
    <w:p w14:paraId="760AAFC3">
      <w:pPr>
        <w:spacing w:line="550" w:lineRule="exact"/>
        <w:ind w:firstLine="562"/>
        <w:jc w:val="left"/>
        <w:rPr>
          <w:rFonts w:ascii="方正仿宋_GBK"/>
          <w:b/>
          <w:bCs/>
          <w:szCs w:val="28"/>
          <w:highlight w:val="none"/>
        </w:rPr>
      </w:pPr>
      <w:r>
        <w:rPr>
          <w:rFonts w:hint="eastAsia" w:ascii="方正仿宋_GBK"/>
          <w:b/>
          <w:bCs/>
          <w:szCs w:val="28"/>
          <w:highlight w:val="none"/>
        </w:rPr>
        <w:t>九、劳动争议</w:t>
      </w:r>
    </w:p>
    <w:p w14:paraId="59067CF8">
      <w:pPr>
        <w:ind w:firstLine="560"/>
        <w:rPr>
          <w:rFonts w:ascii="Times New Roman"/>
          <w:highlight w:val="none"/>
        </w:rPr>
      </w:pPr>
      <w:r>
        <w:rPr>
          <w:rFonts w:hint="eastAsia" w:ascii="Times New Roman"/>
          <w:highlight w:val="none"/>
        </w:rPr>
        <w:t>（一）乙方须遵守作业操作规程、安全规章制度及相关法律法规。在乙方提供履约过程中，如发生工伤事故或财产损失的，或因乙方合同行为造成他人人身财产损害及权益受损的，由乙方承担责任；因乙方合同行为造成的各种行政处罚等一切责任和费用，均由乙方自行承担。</w:t>
      </w:r>
    </w:p>
    <w:p w14:paraId="3DA14CB2">
      <w:pPr>
        <w:ind w:firstLine="560"/>
        <w:rPr>
          <w:rFonts w:ascii="Times New Roman"/>
          <w:highlight w:val="none"/>
        </w:rPr>
      </w:pPr>
      <w:r>
        <w:rPr>
          <w:rFonts w:hint="eastAsia" w:ascii="Times New Roman"/>
          <w:highlight w:val="none"/>
        </w:rPr>
        <w:t>（二）在乙方履约过程中，因乙方履约行为导致的任何纠纷或投诉、任何争议责任的调查确定及承担，均由乙方自行应对和负责。</w:t>
      </w:r>
    </w:p>
    <w:p w14:paraId="4E4FA226">
      <w:pPr>
        <w:ind w:firstLine="560"/>
        <w:rPr>
          <w:rFonts w:ascii="Times New Roman"/>
          <w:highlight w:val="none"/>
        </w:rPr>
      </w:pPr>
      <w:r>
        <w:rPr>
          <w:rFonts w:hint="eastAsia" w:ascii="Times New Roman"/>
          <w:highlight w:val="none"/>
        </w:rPr>
        <w:t>XXXXXXXXXXXXXXXX</w:t>
      </w:r>
    </w:p>
    <w:p w14:paraId="6F3F8058">
      <w:pPr>
        <w:spacing w:line="550" w:lineRule="exact"/>
        <w:ind w:firstLine="562"/>
        <w:jc w:val="left"/>
        <w:rPr>
          <w:rFonts w:ascii="方正仿宋_GBK"/>
          <w:b/>
          <w:bCs/>
          <w:szCs w:val="28"/>
          <w:highlight w:val="none"/>
        </w:rPr>
      </w:pPr>
      <w:r>
        <w:rPr>
          <w:rFonts w:hint="eastAsia" w:ascii="方正仿宋_GBK"/>
          <w:b/>
          <w:bCs/>
          <w:szCs w:val="28"/>
          <w:highlight w:val="none"/>
        </w:rPr>
        <w:t>十、不可抗力</w:t>
      </w:r>
    </w:p>
    <w:p w14:paraId="722BB543">
      <w:pPr>
        <w:ind w:firstLine="560"/>
        <w:rPr>
          <w:rFonts w:ascii="Times New Roman"/>
          <w:highlight w:val="none"/>
        </w:rPr>
      </w:pPr>
      <w:r>
        <w:rPr>
          <w:rFonts w:hint="eastAsia" w:ascii="Times New Roman"/>
          <w:highlight w:val="none"/>
        </w:rPr>
        <w:t>XXXXXXXXXXXXXXXX</w:t>
      </w:r>
    </w:p>
    <w:p w14:paraId="11D5D0F1">
      <w:pPr>
        <w:spacing w:line="550" w:lineRule="exact"/>
        <w:ind w:firstLine="562"/>
        <w:jc w:val="left"/>
        <w:rPr>
          <w:rFonts w:ascii="方正仿宋_GBK"/>
          <w:b/>
          <w:bCs/>
          <w:szCs w:val="28"/>
          <w:highlight w:val="none"/>
        </w:rPr>
      </w:pPr>
      <w:r>
        <w:rPr>
          <w:rFonts w:hint="eastAsia" w:ascii="方正仿宋_GBK"/>
          <w:b/>
          <w:bCs/>
          <w:szCs w:val="28"/>
          <w:highlight w:val="none"/>
        </w:rPr>
        <w:t>十一、法律适用及争议解决</w:t>
      </w:r>
    </w:p>
    <w:p w14:paraId="52BD5BEE">
      <w:pPr>
        <w:spacing w:line="550" w:lineRule="exact"/>
        <w:ind w:firstLine="560"/>
        <w:jc w:val="left"/>
        <w:rPr>
          <w:rFonts w:ascii="方正仿宋_GBK"/>
          <w:b/>
          <w:bCs/>
          <w:szCs w:val="28"/>
          <w:highlight w:val="none"/>
        </w:rPr>
      </w:pPr>
      <w:r>
        <w:rPr>
          <w:rFonts w:hint="eastAsia" w:ascii="方正仿宋_GBK"/>
          <w:szCs w:val="28"/>
          <w:highlight w:val="none"/>
        </w:rPr>
        <w:t>本合同的解释和执行适用中华人民共和国法律。双方在履行本合同中出现的争议，首先通过友好协商的方式解决。协商不成时，由</w:t>
      </w:r>
      <w:r>
        <w:rPr>
          <w:rFonts w:hint="eastAsia" w:ascii="方正仿宋_GBK"/>
          <w:szCs w:val="28"/>
          <w:highlight w:val="none"/>
          <w:u w:val="single"/>
        </w:rPr>
        <w:t xml:space="preserve"> 甲方 </w:t>
      </w:r>
      <w:r>
        <w:rPr>
          <w:rFonts w:hint="eastAsia" w:ascii="方正仿宋_GBK"/>
          <w:szCs w:val="28"/>
          <w:highlight w:val="none"/>
        </w:rPr>
        <w:t>所在地人民法院管辖。任何一方违反本协议约定的，应承担相对方为实现债权而产生的诉讼费、保全费、保全担保费、执行费、公证费、律师费等合理费用。</w:t>
      </w:r>
    </w:p>
    <w:p w14:paraId="457CA402">
      <w:pPr>
        <w:spacing w:line="550" w:lineRule="exact"/>
        <w:ind w:firstLine="562"/>
        <w:jc w:val="left"/>
        <w:rPr>
          <w:rFonts w:ascii="方正仿宋_GBK"/>
          <w:b/>
          <w:bCs/>
          <w:szCs w:val="28"/>
          <w:highlight w:val="none"/>
        </w:rPr>
      </w:pPr>
      <w:r>
        <w:rPr>
          <w:rFonts w:hint="eastAsia" w:ascii="方正仿宋_GBK"/>
          <w:b/>
          <w:bCs/>
          <w:szCs w:val="28"/>
          <w:highlight w:val="none"/>
        </w:rPr>
        <w:t>十二、通知与送达</w:t>
      </w:r>
    </w:p>
    <w:p w14:paraId="59ACC5CE">
      <w:pPr>
        <w:spacing w:line="550" w:lineRule="exact"/>
        <w:ind w:firstLine="560"/>
        <w:rPr>
          <w:rFonts w:ascii="Times New Roman"/>
          <w:highlight w:val="none"/>
        </w:rPr>
      </w:pPr>
      <w:r>
        <w:rPr>
          <w:rFonts w:hint="eastAsia" w:ascii="Times New Roman"/>
          <w:highlight w:val="none"/>
        </w:rPr>
        <w:t>XXXXXXXXXXXXXXXX</w:t>
      </w:r>
    </w:p>
    <w:p w14:paraId="542D4AF3">
      <w:pPr>
        <w:spacing w:line="550" w:lineRule="exact"/>
        <w:ind w:firstLine="562"/>
        <w:jc w:val="left"/>
        <w:rPr>
          <w:rFonts w:ascii="方正仿宋_GBK"/>
          <w:b/>
          <w:bCs/>
          <w:szCs w:val="28"/>
          <w:highlight w:val="none"/>
        </w:rPr>
      </w:pPr>
      <w:r>
        <w:rPr>
          <w:rFonts w:hint="eastAsia" w:ascii="方正仿宋_GBK"/>
          <w:b/>
          <w:bCs/>
          <w:szCs w:val="28"/>
          <w:highlight w:val="none"/>
        </w:rPr>
        <w:t>十三、其他</w:t>
      </w:r>
    </w:p>
    <w:p w14:paraId="68A12152">
      <w:pPr>
        <w:spacing w:line="550" w:lineRule="exact"/>
        <w:ind w:firstLine="560"/>
        <w:rPr>
          <w:rFonts w:ascii="Times New Roman"/>
          <w:highlight w:val="none"/>
        </w:rPr>
      </w:pPr>
      <w:r>
        <w:rPr>
          <w:rFonts w:hint="eastAsia" w:ascii="Times New Roman"/>
          <w:highlight w:val="none"/>
        </w:rPr>
        <w:t>XXXXXXXXXXXXXXXX</w:t>
      </w:r>
    </w:p>
    <w:p w14:paraId="088826DA">
      <w:pPr>
        <w:spacing w:line="550" w:lineRule="exact"/>
        <w:ind w:firstLine="560"/>
        <w:jc w:val="left"/>
        <w:rPr>
          <w:b/>
          <w:bCs/>
          <w:highlight w:val="none"/>
        </w:rPr>
      </w:pPr>
      <w:r>
        <w:rPr>
          <w:rFonts w:hint="eastAsia" w:ascii="方正仿宋_GBK"/>
          <w:szCs w:val="28"/>
          <w:highlight w:val="none"/>
        </w:rPr>
        <w:t>（以下无正文）</w:t>
      </w:r>
    </w:p>
    <w:p w14:paraId="5CC4A793">
      <w:pPr>
        <w:pStyle w:val="15"/>
        <w:spacing w:before="0" w:beforeAutospacing="0" w:after="0" w:afterAutospacing="0" w:line="550" w:lineRule="exact"/>
        <w:ind w:firstLineChars="0"/>
        <w:rPr>
          <w:rFonts w:ascii="Times New Roman" w:hAnsi="Times New Roman" w:cs="Times New Roman"/>
          <w:kern w:val="2"/>
          <w:sz w:val="28"/>
          <w:szCs w:val="28"/>
          <w:highlight w:val="none"/>
        </w:rPr>
      </w:pPr>
    </w:p>
    <w:p w14:paraId="7F5D8CC3">
      <w:pPr>
        <w:pStyle w:val="15"/>
        <w:spacing w:before="0" w:beforeAutospacing="0" w:after="0" w:afterAutospacing="0" w:line="550" w:lineRule="exact"/>
        <w:ind w:firstLine="560"/>
        <w:rPr>
          <w:rFonts w:ascii="Times New Roman" w:hAnsi="Times New Roman" w:cs="Times New Roman"/>
          <w:kern w:val="2"/>
          <w:sz w:val="28"/>
          <w:szCs w:val="28"/>
          <w:highlight w:val="none"/>
        </w:rPr>
      </w:pPr>
      <w:r>
        <w:rPr>
          <w:rFonts w:hint="eastAsia" w:ascii="Times New Roman" w:hAnsi="Times New Roman" w:cs="Times New Roman"/>
          <w:kern w:val="2"/>
          <w:sz w:val="28"/>
          <w:szCs w:val="28"/>
          <w:highlight w:val="none"/>
        </w:rPr>
        <w:t>甲方</w:t>
      </w:r>
      <w:r>
        <w:rPr>
          <w:rFonts w:ascii="Times New Roman" w:hAnsi="Times New Roman" w:cs="Times New Roman"/>
          <w:kern w:val="2"/>
          <w:sz w:val="28"/>
          <w:szCs w:val="28"/>
          <w:highlight w:val="none"/>
        </w:rPr>
        <w:t>：重庆华龙网集团股份有限公司（盖章）</w:t>
      </w:r>
    </w:p>
    <w:p w14:paraId="42EE174A">
      <w:pPr>
        <w:pStyle w:val="15"/>
        <w:spacing w:before="0" w:beforeAutospacing="0" w:after="0" w:afterAutospacing="0" w:line="550" w:lineRule="exact"/>
        <w:ind w:firstLine="560"/>
        <w:rPr>
          <w:rFonts w:ascii="Times New Roman" w:hAnsi="Times New Roman" w:cs="Times New Roman"/>
          <w:kern w:val="2"/>
          <w:sz w:val="28"/>
          <w:szCs w:val="28"/>
          <w:highlight w:val="none"/>
        </w:rPr>
      </w:pPr>
    </w:p>
    <w:p w14:paraId="430054DD">
      <w:pPr>
        <w:pStyle w:val="15"/>
        <w:spacing w:before="0" w:beforeAutospacing="0" w:after="0" w:afterAutospacing="0" w:line="550" w:lineRule="exact"/>
        <w:ind w:firstLine="560"/>
        <w:rPr>
          <w:rFonts w:ascii="Times New Roman" w:hAnsi="Times New Roman" w:cs="Times New Roman"/>
          <w:kern w:val="2"/>
          <w:sz w:val="28"/>
          <w:szCs w:val="28"/>
          <w:highlight w:val="none"/>
        </w:rPr>
      </w:pPr>
      <w:r>
        <w:rPr>
          <w:rFonts w:ascii="Times New Roman" w:hAnsi="Times New Roman" w:cs="Times New Roman"/>
          <w:kern w:val="2"/>
          <w:sz w:val="28"/>
          <w:szCs w:val="28"/>
          <w:highlight w:val="none"/>
        </w:rPr>
        <w:t>授权代表人：           （签字）</w:t>
      </w:r>
    </w:p>
    <w:p w14:paraId="7EC47A19">
      <w:pPr>
        <w:pStyle w:val="15"/>
        <w:spacing w:before="0" w:beforeAutospacing="0" w:after="0" w:afterAutospacing="0" w:line="550" w:lineRule="exact"/>
        <w:ind w:firstLine="560"/>
        <w:rPr>
          <w:rFonts w:ascii="Times New Roman" w:hAnsi="Times New Roman" w:cs="Times New Roman"/>
          <w:kern w:val="2"/>
          <w:sz w:val="28"/>
          <w:szCs w:val="28"/>
          <w:highlight w:val="none"/>
        </w:rPr>
      </w:pPr>
      <w:r>
        <w:rPr>
          <w:rFonts w:ascii="Times New Roman" w:hAnsi="Times New Roman" w:cs="Times New Roman"/>
          <w:kern w:val="2"/>
          <w:sz w:val="28"/>
          <w:szCs w:val="28"/>
          <w:highlight w:val="none"/>
        </w:rPr>
        <w:t>签约时间：        年        月        日</w:t>
      </w:r>
    </w:p>
    <w:p w14:paraId="528D0CCA">
      <w:pPr>
        <w:pStyle w:val="15"/>
        <w:spacing w:before="0" w:beforeAutospacing="0" w:after="0" w:afterAutospacing="0" w:line="550" w:lineRule="exact"/>
        <w:ind w:firstLine="560"/>
        <w:rPr>
          <w:rFonts w:ascii="Times New Roman" w:hAnsi="Times New Roman" w:cs="Times New Roman"/>
          <w:color w:val="000000"/>
          <w:sz w:val="28"/>
          <w:szCs w:val="28"/>
          <w:highlight w:val="none"/>
        </w:rPr>
      </w:pPr>
    </w:p>
    <w:p w14:paraId="4653129F">
      <w:pPr>
        <w:pStyle w:val="15"/>
        <w:spacing w:before="0" w:beforeAutospacing="0" w:after="0" w:afterAutospacing="0" w:line="550" w:lineRule="exact"/>
        <w:ind w:firstLineChars="0"/>
        <w:rPr>
          <w:rFonts w:ascii="Times New Roman" w:hAnsi="Times New Roman" w:cs="Times New Roman"/>
          <w:color w:val="000000"/>
          <w:sz w:val="28"/>
          <w:szCs w:val="28"/>
          <w:highlight w:val="none"/>
        </w:rPr>
      </w:pPr>
    </w:p>
    <w:p w14:paraId="7BFE37BF">
      <w:pPr>
        <w:spacing w:line="550" w:lineRule="exact"/>
        <w:ind w:firstLine="560"/>
        <w:rPr>
          <w:rFonts w:ascii="Times New Roman" w:hAnsi="Times New Roman"/>
          <w:szCs w:val="28"/>
          <w:highlight w:val="none"/>
        </w:rPr>
      </w:pPr>
      <w:r>
        <w:rPr>
          <w:rFonts w:hint="eastAsia" w:ascii="Times New Roman" w:hAnsi="Times New Roman"/>
          <w:szCs w:val="28"/>
          <w:highlight w:val="none"/>
        </w:rPr>
        <w:t>乙方</w:t>
      </w:r>
      <w:r>
        <w:rPr>
          <w:rFonts w:ascii="Times New Roman" w:hAnsi="Times New Roman"/>
          <w:szCs w:val="28"/>
          <w:highlight w:val="none"/>
        </w:rPr>
        <w:t>：</w:t>
      </w:r>
      <w:r>
        <w:rPr>
          <w:rFonts w:hint="eastAsia" w:ascii="Times New Roman"/>
          <w:highlight w:val="none"/>
        </w:rPr>
        <w:t>XXXXXXXXXXXXXXXX</w:t>
      </w:r>
      <w:r>
        <w:rPr>
          <w:rFonts w:ascii="Times New Roman" w:hAnsi="Times New Roman"/>
          <w:szCs w:val="28"/>
          <w:highlight w:val="none"/>
        </w:rPr>
        <w:t>（盖章）</w:t>
      </w:r>
    </w:p>
    <w:p w14:paraId="62ADA05B">
      <w:pPr>
        <w:pStyle w:val="15"/>
        <w:spacing w:before="0" w:beforeAutospacing="0" w:after="0" w:afterAutospacing="0" w:line="550" w:lineRule="exact"/>
        <w:ind w:firstLine="560"/>
        <w:rPr>
          <w:rFonts w:ascii="Times New Roman" w:hAnsi="Times New Roman" w:cs="Times New Roman"/>
          <w:kern w:val="2"/>
          <w:sz w:val="28"/>
          <w:szCs w:val="28"/>
          <w:highlight w:val="none"/>
        </w:rPr>
      </w:pPr>
    </w:p>
    <w:p w14:paraId="61434971">
      <w:pPr>
        <w:pStyle w:val="15"/>
        <w:spacing w:before="0" w:beforeAutospacing="0" w:after="0" w:afterAutospacing="0" w:line="550" w:lineRule="exact"/>
        <w:ind w:firstLine="560"/>
        <w:rPr>
          <w:rFonts w:ascii="Times New Roman" w:hAnsi="Times New Roman" w:cs="Times New Roman"/>
          <w:kern w:val="2"/>
          <w:sz w:val="28"/>
          <w:szCs w:val="28"/>
          <w:highlight w:val="none"/>
        </w:rPr>
      </w:pPr>
      <w:r>
        <w:rPr>
          <w:rFonts w:ascii="Times New Roman" w:hAnsi="Times New Roman" w:cs="Times New Roman"/>
          <w:kern w:val="2"/>
          <w:sz w:val="28"/>
          <w:szCs w:val="28"/>
          <w:highlight w:val="none"/>
        </w:rPr>
        <w:t>授权代表人：            （签字）</w:t>
      </w:r>
    </w:p>
    <w:p w14:paraId="4E030C76">
      <w:pPr>
        <w:pStyle w:val="15"/>
        <w:spacing w:before="0" w:beforeAutospacing="0" w:after="0" w:afterAutospacing="0" w:line="550" w:lineRule="exact"/>
        <w:ind w:firstLine="560"/>
        <w:rPr>
          <w:rFonts w:ascii="Times New Roman" w:hAnsi="Times New Roman" w:cs="Times New Roman"/>
          <w:b/>
          <w:bCs/>
          <w:kern w:val="2"/>
          <w:sz w:val="32"/>
          <w:highlight w:val="none"/>
        </w:rPr>
      </w:pPr>
      <w:r>
        <w:rPr>
          <w:rFonts w:ascii="Times New Roman" w:hAnsi="Times New Roman" w:cs="Times New Roman"/>
          <w:kern w:val="2"/>
          <w:sz w:val="28"/>
          <w:szCs w:val="28"/>
          <w:highlight w:val="none"/>
        </w:rPr>
        <w:t>签约时间：        年        月        日</w:t>
      </w:r>
    </w:p>
    <w:p w14:paraId="6601F676">
      <w:pPr>
        <w:spacing w:line="550" w:lineRule="exact"/>
        <w:ind w:firstLineChars="0"/>
        <w:rPr>
          <w:rFonts w:ascii="Times New Roman" w:hAnsi="Times New Roman" w:eastAsia="仿宋"/>
          <w:b/>
          <w:bCs/>
          <w:color w:val="auto"/>
          <w:highlight w:val="none"/>
        </w:rPr>
      </w:pPr>
      <w:r>
        <w:rPr>
          <w:rFonts w:ascii="Times New Roman" w:hAnsi="Times New Roman" w:eastAsia="仿宋"/>
          <w:b/>
          <w:bCs/>
          <w:color w:val="auto"/>
          <w:highlight w:val="none"/>
        </w:rPr>
        <w:t>（</w:t>
      </w:r>
      <w:r>
        <w:rPr>
          <w:rFonts w:ascii="Times New Roman" w:hAnsi="Times New Roman" w:eastAsia="仿宋"/>
          <w:b/>
          <w:bCs/>
          <w:color w:val="auto"/>
          <w:spacing w:val="-17"/>
          <w:highlight w:val="none"/>
        </w:rPr>
        <w:t>本篇内容仅作参考，最终合同条款与合同以</w:t>
      </w:r>
      <w:r>
        <w:rPr>
          <w:rFonts w:hint="eastAsia" w:ascii="Times New Roman" w:hAnsi="Times New Roman" w:eastAsia="仿宋"/>
          <w:b/>
          <w:bCs/>
          <w:color w:val="auto"/>
          <w:spacing w:val="-17"/>
          <w:highlight w:val="none"/>
        </w:rPr>
        <w:t>采购人</w:t>
      </w:r>
      <w:r>
        <w:rPr>
          <w:rFonts w:ascii="Times New Roman" w:hAnsi="Times New Roman" w:eastAsia="仿宋"/>
          <w:b/>
          <w:bCs/>
          <w:color w:val="auto"/>
          <w:spacing w:val="-17"/>
          <w:highlight w:val="none"/>
        </w:rPr>
        <w:t>与</w:t>
      </w:r>
      <w:r>
        <w:rPr>
          <w:rFonts w:hint="eastAsia" w:ascii="Times New Roman" w:hAnsi="Times New Roman" w:eastAsia="仿宋"/>
          <w:b/>
          <w:bCs/>
          <w:color w:val="auto"/>
          <w:spacing w:val="-17"/>
          <w:highlight w:val="none"/>
        </w:rPr>
        <w:t>成交供应商</w:t>
      </w:r>
      <w:r>
        <w:rPr>
          <w:rFonts w:ascii="Times New Roman" w:hAnsi="Times New Roman" w:eastAsia="仿宋"/>
          <w:b/>
          <w:bCs/>
          <w:color w:val="auto"/>
          <w:spacing w:val="-17"/>
          <w:highlight w:val="none"/>
        </w:rPr>
        <w:t>双方沟通协商确定。</w:t>
      </w:r>
      <w:r>
        <w:rPr>
          <w:rFonts w:ascii="Times New Roman" w:hAnsi="Times New Roman" w:eastAsia="仿宋"/>
          <w:b/>
          <w:bCs/>
          <w:color w:val="auto"/>
          <w:highlight w:val="none"/>
        </w:rPr>
        <w:t>）</w:t>
      </w:r>
    </w:p>
    <w:p w14:paraId="6B998E07">
      <w:pPr>
        <w:pStyle w:val="2"/>
        <w:ind w:firstLine="480"/>
        <w:rPr>
          <w:highlight w:val="none"/>
        </w:rPr>
      </w:pPr>
    </w:p>
    <w:p w14:paraId="4DEE681A">
      <w:pPr>
        <w:ind w:firstLine="560"/>
        <w:rPr>
          <w:highlight w:val="none"/>
        </w:rPr>
      </w:pPr>
    </w:p>
    <w:p w14:paraId="23E97153">
      <w:pPr>
        <w:pStyle w:val="2"/>
        <w:rPr>
          <w:highlight w:val="none"/>
        </w:rPr>
      </w:pPr>
    </w:p>
    <w:p w14:paraId="59B95B57">
      <w:pPr>
        <w:pStyle w:val="3"/>
        <w:spacing w:before="0" w:after="0" w:line="240" w:lineRule="auto"/>
        <w:ind w:firstLine="0" w:firstLineChars="0"/>
        <w:jc w:val="center"/>
        <w:rPr>
          <w:rFonts w:ascii="Times New Roman" w:hAnsi="Times New Roman" w:eastAsia="方正小标宋_GBK" w:cs="Times New Roman"/>
          <w:b/>
          <w:bCs/>
          <w:color w:val="auto"/>
          <w:kern w:val="44"/>
          <w:sz w:val="32"/>
          <w:szCs w:val="44"/>
          <w:highlight w:val="none"/>
        </w:rPr>
      </w:pPr>
      <w:bookmarkStart w:id="200" w:name="_Toc2413"/>
      <w:bookmarkStart w:id="201" w:name="_Toc194572021"/>
      <w:bookmarkStart w:id="202" w:name="_Toc105081939"/>
      <w:bookmarkStart w:id="203" w:name="_Toc3499"/>
      <w:bookmarkStart w:id="204" w:name="_Toc97027585"/>
      <w:r>
        <w:rPr>
          <w:rFonts w:ascii="Times New Roman" w:hAnsi="Times New Roman" w:eastAsia="方正小标宋_GBK" w:cs="Times New Roman"/>
          <w:b/>
          <w:bCs/>
          <w:color w:val="auto"/>
          <w:kern w:val="44"/>
          <w:sz w:val="32"/>
          <w:szCs w:val="44"/>
          <w:highlight w:val="none"/>
        </w:rPr>
        <w:t>第七篇 参选文件格式</w:t>
      </w:r>
      <w:bookmarkEnd w:id="200"/>
      <w:bookmarkEnd w:id="201"/>
      <w:bookmarkEnd w:id="202"/>
      <w:bookmarkEnd w:id="203"/>
      <w:bookmarkEnd w:id="204"/>
    </w:p>
    <w:p w14:paraId="36F1FBA9">
      <w:pPr>
        <w:snapToGrid w:val="0"/>
        <w:spacing w:line="440" w:lineRule="exact"/>
        <w:ind w:firstLine="560"/>
        <w:jc w:val="center"/>
        <w:rPr>
          <w:rFonts w:ascii="Times New Roman" w:hAnsi="Times New Roman" w:eastAsia="仿宋"/>
          <w:color w:val="auto"/>
          <w:szCs w:val="28"/>
          <w:highlight w:val="none"/>
        </w:rPr>
      </w:pPr>
      <w:r>
        <w:rPr>
          <w:rFonts w:ascii="Times New Roman" w:hAnsi="Times New Roman" w:eastAsia="仿宋"/>
          <w:color w:val="auto"/>
          <w:szCs w:val="28"/>
          <w:highlight w:val="none"/>
        </w:rPr>
        <w:t>（请按本篇要求提供，包含但不限于以下格式内容）</w:t>
      </w:r>
    </w:p>
    <w:p w14:paraId="7C50612D">
      <w:pPr>
        <w:spacing w:line="500" w:lineRule="exact"/>
        <w:ind w:firstLine="0" w:firstLineChars="0"/>
        <w:rPr>
          <w:rFonts w:ascii="Times New Roman" w:hAnsi="Times New Roman" w:eastAsia="仿宋"/>
          <w:b/>
          <w:bCs/>
          <w:color w:val="auto"/>
          <w:highlight w:val="none"/>
        </w:rPr>
      </w:pPr>
      <w:bookmarkStart w:id="205" w:name="_Toc97027586"/>
      <w:bookmarkStart w:id="206" w:name="_Toc31119"/>
      <w:bookmarkStart w:id="207" w:name="_Toc86359002"/>
      <w:bookmarkStart w:id="208" w:name="_Toc105081940"/>
      <w:r>
        <w:rPr>
          <w:rFonts w:ascii="Times New Roman" w:hAnsi="Times New Roman" w:eastAsia="仿宋"/>
          <w:b/>
          <w:bCs/>
          <w:color w:val="auto"/>
          <w:highlight w:val="none"/>
        </w:rPr>
        <w:t>一、经济</w:t>
      </w:r>
      <w:bookmarkEnd w:id="205"/>
      <w:bookmarkEnd w:id="206"/>
      <w:bookmarkEnd w:id="207"/>
      <w:bookmarkEnd w:id="208"/>
      <w:r>
        <w:rPr>
          <w:rFonts w:ascii="Times New Roman" w:hAnsi="Times New Roman" w:eastAsia="仿宋"/>
          <w:b/>
          <w:bCs/>
          <w:color w:val="auto"/>
          <w:highlight w:val="none"/>
        </w:rPr>
        <w:t>文件</w:t>
      </w:r>
    </w:p>
    <w:p w14:paraId="32ACF2EF">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1.</w:t>
      </w:r>
      <w:r>
        <w:rPr>
          <w:rFonts w:hint="eastAsia" w:ascii="Times New Roman" w:hAnsi="Times New Roman" w:eastAsia="仿宋"/>
          <w:color w:val="auto"/>
          <w:highlight w:val="none"/>
        </w:rPr>
        <w:t>比选</w:t>
      </w:r>
      <w:r>
        <w:rPr>
          <w:rFonts w:ascii="Times New Roman" w:hAnsi="Times New Roman" w:eastAsia="仿宋"/>
          <w:color w:val="auto"/>
          <w:highlight w:val="none"/>
        </w:rPr>
        <w:t>一览表</w:t>
      </w:r>
    </w:p>
    <w:p w14:paraId="2FF090C5">
      <w:pPr>
        <w:spacing w:line="500" w:lineRule="exact"/>
        <w:ind w:firstLine="0" w:firstLineChars="0"/>
        <w:rPr>
          <w:rFonts w:ascii="Times New Roman" w:hAnsi="Times New Roman" w:eastAsia="仿宋"/>
          <w:b/>
          <w:bCs/>
          <w:color w:val="auto"/>
          <w:highlight w:val="none"/>
        </w:rPr>
      </w:pPr>
      <w:bookmarkStart w:id="209" w:name="_Toc86359004"/>
      <w:bookmarkStart w:id="210" w:name="_Toc26410"/>
      <w:bookmarkStart w:id="211" w:name="_Toc97027587"/>
      <w:bookmarkStart w:id="212" w:name="_Toc105081941"/>
      <w:r>
        <w:rPr>
          <w:rFonts w:ascii="Times New Roman" w:hAnsi="Times New Roman" w:eastAsia="仿宋"/>
          <w:b/>
          <w:bCs/>
          <w:color w:val="auto"/>
          <w:highlight w:val="none"/>
        </w:rPr>
        <w:t>二、服务</w:t>
      </w:r>
      <w:bookmarkEnd w:id="209"/>
      <w:bookmarkEnd w:id="210"/>
      <w:bookmarkEnd w:id="211"/>
      <w:bookmarkEnd w:id="212"/>
      <w:r>
        <w:rPr>
          <w:rStyle w:val="19"/>
          <w:rFonts w:hint="eastAsia" w:ascii="Times New Roman" w:hAnsi="Times New Roman" w:eastAsia="仿宋"/>
          <w:color w:val="auto"/>
          <w:highlight w:val="none"/>
        </w:rPr>
        <w:t>/</w:t>
      </w:r>
      <w:r>
        <w:rPr>
          <w:rFonts w:ascii="Times New Roman" w:hAnsi="Times New Roman" w:eastAsia="仿宋"/>
          <w:b/>
          <w:bCs/>
          <w:color w:val="auto"/>
          <w:highlight w:val="none"/>
        </w:rPr>
        <w:t>技术文件</w:t>
      </w:r>
    </w:p>
    <w:p w14:paraId="3AEE9628">
      <w:pPr>
        <w:spacing w:line="500" w:lineRule="exact"/>
        <w:ind w:firstLine="0" w:firstLineChars="0"/>
        <w:rPr>
          <w:rFonts w:ascii="Times New Roman" w:hAnsi="Times New Roman" w:eastAsia="仿宋"/>
          <w:color w:val="auto"/>
          <w:highlight w:val="none"/>
        </w:rPr>
      </w:pPr>
      <w:bookmarkStart w:id="213" w:name="_Toc30775"/>
      <w:bookmarkStart w:id="214" w:name="_Toc86359005"/>
      <w:r>
        <w:rPr>
          <w:rFonts w:ascii="Times New Roman" w:hAnsi="Times New Roman" w:eastAsia="仿宋"/>
          <w:color w:val="auto"/>
          <w:highlight w:val="none"/>
        </w:rPr>
        <w:t>1.</w:t>
      </w:r>
      <w:r>
        <w:rPr>
          <w:rFonts w:ascii="Times New Roman" w:hAnsi="Times New Roman" w:eastAsia="仿宋"/>
          <w:color w:val="auto"/>
          <w:szCs w:val="28"/>
          <w:highlight w:val="none"/>
        </w:rPr>
        <w:t>服务</w:t>
      </w:r>
      <w:r>
        <w:rPr>
          <w:rStyle w:val="19"/>
          <w:rFonts w:hint="eastAsia" w:ascii="Times New Roman" w:hAnsi="Times New Roman" w:eastAsia="仿宋"/>
          <w:color w:val="auto"/>
          <w:highlight w:val="none"/>
          <w:u w:val="none"/>
        </w:rPr>
        <w:t>/</w:t>
      </w:r>
      <w:r>
        <w:rPr>
          <w:rFonts w:ascii="Times New Roman" w:hAnsi="Times New Roman" w:eastAsia="仿宋"/>
          <w:color w:val="auto"/>
          <w:highlight w:val="none"/>
        </w:rPr>
        <w:t>技术</w:t>
      </w:r>
      <w:r>
        <w:rPr>
          <w:rFonts w:ascii="Times New Roman" w:hAnsi="Times New Roman" w:eastAsia="仿宋"/>
          <w:color w:val="auto"/>
          <w:szCs w:val="28"/>
          <w:highlight w:val="none"/>
        </w:rPr>
        <w:t>要求应答承诺书</w:t>
      </w:r>
    </w:p>
    <w:p w14:paraId="6E034609">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2.</w:t>
      </w:r>
      <w:bookmarkStart w:id="215" w:name="_Hlk194571411"/>
      <w:r>
        <w:rPr>
          <w:rFonts w:ascii="Times New Roman" w:hAnsi="Times New Roman" w:eastAsia="仿宋"/>
          <w:color w:val="auto"/>
          <w:highlight w:val="none"/>
        </w:rPr>
        <w:t>其他服务</w:t>
      </w:r>
      <w:r>
        <w:rPr>
          <w:rStyle w:val="19"/>
          <w:rFonts w:hint="eastAsia" w:ascii="Times New Roman" w:hAnsi="Times New Roman" w:eastAsia="仿宋"/>
          <w:color w:val="auto"/>
          <w:highlight w:val="none"/>
          <w:u w:val="none"/>
        </w:rPr>
        <w:t>/</w:t>
      </w:r>
      <w:r>
        <w:rPr>
          <w:rFonts w:ascii="Times New Roman" w:hAnsi="Times New Roman" w:eastAsia="仿宋"/>
          <w:color w:val="auto"/>
          <w:highlight w:val="none"/>
        </w:rPr>
        <w:t>技术部分资料</w:t>
      </w:r>
      <w:bookmarkEnd w:id="215"/>
    </w:p>
    <w:p w14:paraId="0EA2A861">
      <w:pPr>
        <w:spacing w:line="500" w:lineRule="exact"/>
        <w:ind w:firstLine="0" w:firstLineChars="0"/>
        <w:rPr>
          <w:rFonts w:ascii="Times New Roman" w:hAnsi="Times New Roman" w:eastAsia="仿宋"/>
          <w:b/>
          <w:bCs/>
          <w:color w:val="auto"/>
          <w:highlight w:val="none"/>
        </w:rPr>
      </w:pPr>
      <w:bookmarkStart w:id="216" w:name="_Toc105081942"/>
      <w:bookmarkStart w:id="217" w:name="_Toc97027588"/>
      <w:r>
        <w:rPr>
          <w:rFonts w:ascii="Times New Roman" w:hAnsi="Times New Roman" w:eastAsia="仿宋"/>
          <w:b/>
          <w:bCs/>
          <w:color w:val="auto"/>
          <w:highlight w:val="none"/>
        </w:rPr>
        <w:t>三、商务</w:t>
      </w:r>
      <w:bookmarkEnd w:id="213"/>
      <w:bookmarkEnd w:id="214"/>
      <w:bookmarkEnd w:id="216"/>
      <w:bookmarkEnd w:id="217"/>
      <w:r>
        <w:rPr>
          <w:rFonts w:ascii="Times New Roman" w:hAnsi="Times New Roman" w:eastAsia="仿宋"/>
          <w:b/>
          <w:bCs/>
          <w:color w:val="auto"/>
          <w:highlight w:val="none"/>
        </w:rPr>
        <w:t>文件</w:t>
      </w:r>
    </w:p>
    <w:p w14:paraId="1122544D">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1.比选函</w:t>
      </w:r>
    </w:p>
    <w:p w14:paraId="6D08D740">
      <w:pPr>
        <w:widowControl/>
        <w:numPr>
          <w:ilvl w:val="255"/>
          <w:numId w:val="0"/>
        </w:numPr>
        <w:spacing w:line="500" w:lineRule="exact"/>
        <w:jc w:val="left"/>
        <w:rPr>
          <w:rFonts w:ascii="Times New Roman" w:hAnsi="Times New Roman" w:eastAsia="仿宋"/>
          <w:color w:val="auto"/>
          <w:highlight w:val="none"/>
        </w:rPr>
      </w:pPr>
      <w:bookmarkStart w:id="218" w:name="_Toc105081943"/>
      <w:bookmarkStart w:id="219" w:name="_Toc97027589"/>
      <w:r>
        <w:rPr>
          <w:rFonts w:hint="eastAsia" w:ascii="Times New Roman" w:hAnsi="Times New Roman" w:eastAsia="仿宋"/>
          <w:color w:val="auto"/>
          <w:highlight w:val="none"/>
        </w:rPr>
        <w:t>2.</w:t>
      </w:r>
      <w:r>
        <w:rPr>
          <w:rFonts w:ascii="Times New Roman" w:hAnsi="Times New Roman" w:eastAsia="仿宋"/>
          <w:color w:val="auto"/>
          <w:highlight w:val="none"/>
        </w:rPr>
        <w:t>商务要求应答承诺书</w:t>
      </w:r>
    </w:p>
    <w:p w14:paraId="0736A4D2">
      <w:pPr>
        <w:widowControl/>
        <w:spacing w:line="500" w:lineRule="exact"/>
        <w:ind w:firstLine="0" w:firstLineChars="0"/>
        <w:jc w:val="left"/>
        <w:rPr>
          <w:rFonts w:ascii="Times New Roman" w:hAnsi="Times New Roman" w:eastAsia="仿宋"/>
          <w:color w:val="auto"/>
          <w:highlight w:val="none"/>
        </w:rPr>
      </w:pPr>
      <w:r>
        <w:rPr>
          <w:rFonts w:ascii="Times New Roman" w:hAnsi="Times New Roman" w:eastAsia="仿宋"/>
          <w:color w:val="auto"/>
          <w:highlight w:val="none"/>
        </w:rPr>
        <w:t>3.拟派服务团队人员名单</w:t>
      </w:r>
    </w:p>
    <w:p w14:paraId="565DB56C">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4.其他商务部分资料</w:t>
      </w:r>
    </w:p>
    <w:p w14:paraId="6405E5B8">
      <w:pPr>
        <w:spacing w:line="500" w:lineRule="exact"/>
        <w:ind w:firstLine="0" w:firstLineChars="0"/>
        <w:rPr>
          <w:rFonts w:ascii="Times New Roman" w:hAnsi="Times New Roman" w:eastAsia="仿宋"/>
          <w:b/>
          <w:bCs/>
          <w:color w:val="auto"/>
          <w:highlight w:val="none"/>
        </w:rPr>
      </w:pPr>
      <w:r>
        <w:rPr>
          <w:rFonts w:ascii="Times New Roman" w:hAnsi="Times New Roman" w:eastAsia="仿宋"/>
          <w:b/>
          <w:bCs/>
          <w:color w:val="auto"/>
          <w:highlight w:val="none"/>
        </w:rPr>
        <w:t>四、其他与项目有关的资料</w:t>
      </w:r>
      <w:bookmarkEnd w:id="218"/>
      <w:bookmarkEnd w:id="219"/>
    </w:p>
    <w:p w14:paraId="514ABCDA">
      <w:pPr>
        <w:spacing w:line="500" w:lineRule="exact"/>
        <w:ind w:firstLine="0" w:firstLineChars="0"/>
        <w:rPr>
          <w:rFonts w:ascii="Times New Roman" w:hAnsi="Times New Roman" w:eastAsia="仿宋"/>
          <w:b/>
          <w:bCs/>
          <w:color w:val="auto"/>
          <w:highlight w:val="none"/>
        </w:rPr>
      </w:pPr>
      <w:bookmarkStart w:id="220" w:name="_Toc86359003"/>
      <w:bookmarkStart w:id="221" w:name="_Toc97027590"/>
      <w:bookmarkStart w:id="222" w:name="_Toc105081944"/>
      <w:bookmarkStart w:id="223" w:name="_Toc3598"/>
      <w:r>
        <w:rPr>
          <w:rFonts w:ascii="Times New Roman" w:hAnsi="Times New Roman" w:eastAsia="仿宋"/>
          <w:b/>
          <w:bCs/>
          <w:color w:val="auto"/>
          <w:highlight w:val="none"/>
        </w:rPr>
        <w:t>五、资格文件</w:t>
      </w:r>
      <w:bookmarkEnd w:id="220"/>
      <w:bookmarkEnd w:id="221"/>
      <w:bookmarkEnd w:id="222"/>
      <w:bookmarkEnd w:id="223"/>
    </w:p>
    <w:p w14:paraId="3B3BDE72">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1.法人营业执照（副本）或事业单位法人证书（副本）或个体工商户营业执照或有效的自然人身份证明或社会团体法人登记证书复印件；</w:t>
      </w:r>
    </w:p>
    <w:p w14:paraId="02D1A0CC">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2.法定代表人身份证明书（格式）；</w:t>
      </w:r>
    </w:p>
    <w:p w14:paraId="3F125C5F">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3.法定代表人授权委托书（格式）；</w:t>
      </w:r>
    </w:p>
    <w:p w14:paraId="3E6E6D13">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4.基本资格条件承诺函（格式）</w:t>
      </w:r>
      <w:r>
        <w:rPr>
          <w:rFonts w:hint="eastAsia" w:ascii="Times New Roman" w:hAnsi="Times New Roman" w:eastAsia="仿宋"/>
          <w:color w:val="auto"/>
          <w:highlight w:val="none"/>
        </w:rPr>
        <w:t>；</w:t>
      </w:r>
    </w:p>
    <w:p w14:paraId="2D5B441A">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5.承诺书（格式自拟）</w:t>
      </w:r>
      <w:r>
        <w:rPr>
          <w:rFonts w:hint="eastAsia" w:ascii="Times New Roman" w:hAnsi="Times New Roman" w:eastAsia="仿宋"/>
          <w:color w:val="auto"/>
          <w:highlight w:val="none"/>
        </w:rPr>
        <w:t>；</w:t>
      </w:r>
    </w:p>
    <w:p w14:paraId="215056E4">
      <w:pPr>
        <w:spacing w:line="500" w:lineRule="exact"/>
        <w:ind w:firstLine="0" w:firstLineChars="0"/>
        <w:rPr>
          <w:rFonts w:ascii="Times New Roman" w:hAnsi="Times New Roman" w:eastAsia="仿宋"/>
          <w:color w:val="auto"/>
          <w:highlight w:val="none"/>
        </w:rPr>
      </w:pPr>
      <w:r>
        <w:rPr>
          <w:rFonts w:ascii="Times New Roman" w:hAnsi="Times New Roman" w:eastAsia="仿宋"/>
          <w:color w:val="auto"/>
          <w:highlight w:val="none"/>
        </w:rPr>
        <w:t>6.诚信声明</w:t>
      </w:r>
      <w:r>
        <w:rPr>
          <w:rFonts w:hint="eastAsia" w:ascii="Times New Roman" w:hAnsi="Times New Roman" w:eastAsia="仿宋"/>
          <w:color w:val="auto"/>
          <w:highlight w:val="none"/>
        </w:rPr>
        <w:t>。</w:t>
      </w:r>
    </w:p>
    <w:p w14:paraId="22221A35">
      <w:pPr>
        <w:spacing w:line="500" w:lineRule="exact"/>
        <w:ind w:firstLine="0" w:firstLineChars="0"/>
        <w:rPr>
          <w:rFonts w:ascii="Times New Roman" w:hAnsi="Times New Roman" w:eastAsia="仿宋"/>
          <w:color w:val="auto"/>
          <w:highlight w:val="none"/>
        </w:rPr>
      </w:pPr>
    </w:p>
    <w:p w14:paraId="115431A2">
      <w:pPr>
        <w:ind w:firstLine="0" w:firstLineChars="0"/>
        <w:rPr>
          <w:rFonts w:ascii="Times New Roman" w:hAnsi="Times New Roman" w:eastAsia="仿宋"/>
          <w:color w:val="auto"/>
          <w:highlight w:val="none"/>
        </w:rPr>
      </w:pPr>
    </w:p>
    <w:p w14:paraId="6600C72D">
      <w:pPr>
        <w:pStyle w:val="2"/>
        <w:ind w:firstLine="0" w:firstLineChars="0"/>
        <w:rPr>
          <w:rFonts w:eastAsia="仿宋"/>
          <w:color w:val="auto"/>
          <w:highlight w:val="none"/>
        </w:rPr>
      </w:pPr>
    </w:p>
    <w:p w14:paraId="46E5F372">
      <w:pPr>
        <w:widowControl/>
        <w:ind w:firstLine="0" w:firstLineChars="0"/>
        <w:jc w:val="left"/>
        <w:rPr>
          <w:rFonts w:ascii="Times New Roman" w:hAnsi="Times New Roman" w:eastAsia="仿宋"/>
          <w:b/>
          <w:bCs/>
          <w:color w:val="auto"/>
          <w:szCs w:val="28"/>
          <w:highlight w:val="none"/>
        </w:rPr>
      </w:pPr>
      <w:r>
        <w:rPr>
          <w:rFonts w:ascii="Times New Roman" w:hAnsi="Times New Roman" w:eastAsia="仿宋"/>
          <w:b/>
          <w:bCs/>
          <w:color w:val="auto"/>
          <w:szCs w:val="28"/>
          <w:highlight w:val="none"/>
        </w:rPr>
        <w:t>一、经济文件</w:t>
      </w:r>
    </w:p>
    <w:p w14:paraId="7EB93E0B">
      <w:pPr>
        <w:widowControl/>
        <w:ind w:firstLine="0" w:firstLineChars="0"/>
        <w:jc w:val="left"/>
        <w:rPr>
          <w:rFonts w:ascii="Times New Roman" w:hAnsi="Times New Roman" w:eastAsia="仿宋"/>
          <w:color w:val="auto"/>
          <w:szCs w:val="28"/>
          <w:highlight w:val="none"/>
        </w:rPr>
      </w:pPr>
      <w:r>
        <w:rPr>
          <w:rFonts w:ascii="Times New Roman" w:hAnsi="Times New Roman" w:eastAsia="仿宋"/>
          <w:color w:val="auto"/>
          <w:szCs w:val="28"/>
          <w:highlight w:val="none"/>
        </w:rPr>
        <w:t>1.</w:t>
      </w:r>
      <w:r>
        <w:rPr>
          <w:rFonts w:hint="eastAsia" w:ascii="Times New Roman" w:hAnsi="Times New Roman" w:eastAsia="仿宋"/>
          <w:color w:val="auto"/>
          <w:szCs w:val="28"/>
          <w:highlight w:val="none"/>
        </w:rPr>
        <w:t>比选</w:t>
      </w:r>
      <w:r>
        <w:rPr>
          <w:rFonts w:ascii="Times New Roman" w:hAnsi="Times New Roman" w:eastAsia="仿宋"/>
          <w:color w:val="auto"/>
          <w:szCs w:val="28"/>
          <w:highlight w:val="none"/>
        </w:rPr>
        <w:t>一览表</w:t>
      </w:r>
    </w:p>
    <w:p w14:paraId="238E1FD6">
      <w:pPr>
        <w:snapToGrid w:val="0"/>
        <w:spacing w:line="500" w:lineRule="exact"/>
        <w:ind w:firstLine="560"/>
        <w:jc w:val="center"/>
        <w:rPr>
          <w:rFonts w:ascii="Times New Roman" w:hAnsi="Times New Roman" w:eastAsia="仿宋"/>
          <w:color w:val="auto"/>
          <w:highlight w:val="none"/>
        </w:rPr>
      </w:pPr>
      <w:bookmarkStart w:id="224" w:name="_Toc10164"/>
      <w:r>
        <w:rPr>
          <w:rFonts w:hint="eastAsia" w:ascii="Times New Roman" w:hAnsi="Times New Roman" w:eastAsia="仿宋"/>
          <w:color w:val="auto"/>
          <w:highlight w:val="none"/>
        </w:rPr>
        <w:t>比选</w:t>
      </w:r>
      <w:r>
        <w:rPr>
          <w:rFonts w:ascii="Times New Roman" w:hAnsi="Times New Roman" w:eastAsia="仿宋"/>
          <w:color w:val="auto"/>
          <w:highlight w:val="none"/>
        </w:rPr>
        <w:t>一览表</w:t>
      </w:r>
    </w:p>
    <w:p w14:paraId="1E6827B1">
      <w:pPr>
        <w:spacing w:line="500" w:lineRule="exact"/>
        <w:ind w:firstLine="240" w:firstLineChars="100"/>
        <w:rPr>
          <w:rFonts w:ascii="Times New Roman" w:hAnsi="Times New Roman" w:eastAsia="仿宋"/>
          <w:color w:val="auto"/>
          <w:sz w:val="24"/>
          <w:highlight w:val="none"/>
        </w:rPr>
      </w:pPr>
      <w:r>
        <w:rPr>
          <w:rFonts w:ascii="Times New Roman" w:hAnsi="Times New Roman" w:eastAsia="仿宋"/>
          <w:color w:val="auto"/>
          <w:sz w:val="24"/>
          <w:highlight w:val="none"/>
        </w:rPr>
        <w:t xml:space="preserve">比选项目名称：                                                 </w:t>
      </w:r>
    </w:p>
    <w:tbl>
      <w:tblPr>
        <w:tblStyle w:val="17"/>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3827"/>
        <w:gridCol w:w="4531"/>
      </w:tblGrid>
      <w:tr w14:paraId="03FC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14:paraId="1CC767B4">
            <w:pPr>
              <w:spacing w:line="400" w:lineRule="exact"/>
              <w:ind w:firstLine="0" w:firstLineChars="0"/>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参选人名称</w:t>
            </w:r>
          </w:p>
        </w:tc>
        <w:tc>
          <w:tcPr>
            <w:tcW w:w="8358" w:type="dxa"/>
            <w:gridSpan w:val="2"/>
            <w:tcBorders>
              <w:top w:val="single" w:color="auto" w:sz="4" w:space="0"/>
              <w:left w:val="nil"/>
              <w:bottom w:val="single" w:color="auto" w:sz="4" w:space="0"/>
              <w:right w:val="single" w:color="auto" w:sz="4" w:space="0"/>
            </w:tcBorders>
            <w:vAlign w:val="center"/>
          </w:tcPr>
          <w:p w14:paraId="28E212EC">
            <w:pPr>
              <w:spacing w:line="500" w:lineRule="exact"/>
              <w:ind w:firstLine="420"/>
              <w:jc w:val="center"/>
              <w:rPr>
                <w:rFonts w:ascii="Times New Roman" w:hAnsi="Times New Roman" w:eastAsia="仿宋"/>
                <w:color w:val="auto"/>
                <w:sz w:val="21"/>
                <w:szCs w:val="21"/>
                <w:highlight w:val="none"/>
              </w:rPr>
            </w:pPr>
          </w:p>
        </w:tc>
      </w:tr>
      <w:tr w14:paraId="2CB9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4" w:type="dxa"/>
            <w:tcBorders>
              <w:top w:val="single" w:color="auto" w:sz="4" w:space="0"/>
              <w:left w:val="single" w:color="auto" w:sz="4" w:space="0"/>
              <w:right w:val="single" w:color="auto" w:sz="4" w:space="0"/>
            </w:tcBorders>
            <w:vAlign w:val="center"/>
          </w:tcPr>
          <w:p w14:paraId="1172E366">
            <w:pPr>
              <w:spacing w:line="40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序号</w:t>
            </w:r>
          </w:p>
        </w:tc>
        <w:tc>
          <w:tcPr>
            <w:tcW w:w="3827" w:type="dxa"/>
            <w:tcBorders>
              <w:top w:val="single" w:color="auto" w:sz="4" w:space="0"/>
              <w:left w:val="single" w:color="auto" w:sz="4" w:space="0"/>
              <w:right w:val="single" w:color="auto" w:sz="4" w:space="0"/>
            </w:tcBorders>
            <w:vAlign w:val="center"/>
          </w:tcPr>
          <w:p w14:paraId="7F8A758D">
            <w:pPr>
              <w:spacing w:line="40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项目名称</w:t>
            </w:r>
          </w:p>
        </w:tc>
        <w:tc>
          <w:tcPr>
            <w:tcW w:w="4531" w:type="dxa"/>
            <w:tcBorders>
              <w:top w:val="single" w:color="auto" w:sz="4" w:space="0"/>
              <w:left w:val="single" w:color="auto" w:sz="4" w:space="0"/>
              <w:right w:val="single" w:color="auto" w:sz="4" w:space="0"/>
            </w:tcBorders>
            <w:vAlign w:val="center"/>
          </w:tcPr>
          <w:p w14:paraId="7DCC9695">
            <w:pPr>
              <w:spacing w:line="400" w:lineRule="exact"/>
              <w:ind w:firstLine="0" w:firstLineChars="0"/>
              <w:jc w:val="center"/>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服务期</w:t>
            </w:r>
          </w:p>
        </w:tc>
      </w:tr>
      <w:tr w14:paraId="08FC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274" w:type="dxa"/>
            <w:tcBorders>
              <w:top w:val="single" w:color="auto" w:sz="4" w:space="0"/>
              <w:left w:val="single" w:color="auto" w:sz="4" w:space="0"/>
              <w:right w:val="single" w:color="auto" w:sz="4" w:space="0"/>
            </w:tcBorders>
            <w:vAlign w:val="center"/>
          </w:tcPr>
          <w:p w14:paraId="704B12AD">
            <w:pPr>
              <w:spacing w:line="400" w:lineRule="exact"/>
              <w:ind w:firstLine="0" w:firstLineChars="0"/>
              <w:jc w:val="center"/>
              <w:rPr>
                <w:rFonts w:ascii="Times New Roman" w:hAnsi="Times New Roman" w:eastAsia="仿宋"/>
                <w:color w:val="auto"/>
                <w:sz w:val="21"/>
                <w:szCs w:val="21"/>
                <w:highlight w:val="none"/>
              </w:rPr>
            </w:pPr>
          </w:p>
        </w:tc>
        <w:tc>
          <w:tcPr>
            <w:tcW w:w="3827" w:type="dxa"/>
            <w:tcBorders>
              <w:top w:val="single" w:color="auto" w:sz="4" w:space="0"/>
              <w:left w:val="single" w:color="auto" w:sz="4" w:space="0"/>
              <w:right w:val="single" w:color="auto" w:sz="4" w:space="0"/>
            </w:tcBorders>
            <w:vAlign w:val="center"/>
          </w:tcPr>
          <w:p w14:paraId="0B185975">
            <w:pPr>
              <w:spacing w:line="400" w:lineRule="exact"/>
              <w:ind w:firstLine="0" w:firstLineChars="0"/>
              <w:jc w:val="center"/>
              <w:rPr>
                <w:rFonts w:ascii="Times New Roman" w:hAnsi="Times New Roman" w:eastAsia="仿宋"/>
                <w:color w:val="auto"/>
                <w:sz w:val="21"/>
                <w:szCs w:val="21"/>
                <w:highlight w:val="none"/>
              </w:rPr>
            </w:pPr>
          </w:p>
        </w:tc>
        <w:tc>
          <w:tcPr>
            <w:tcW w:w="4531" w:type="dxa"/>
            <w:tcBorders>
              <w:top w:val="single" w:color="auto" w:sz="4" w:space="0"/>
              <w:left w:val="single" w:color="auto" w:sz="4" w:space="0"/>
              <w:right w:val="single" w:color="auto" w:sz="4" w:space="0"/>
            </w:tcBorders>
            <w:vAlign w:val="center"/>
          </w:tcPr>
          <w:p w14:paraId="402C927B">
            <w:pPr>
              <w:spacing w:line="400" w:lineRule="exact"/>
              <w:ind w:firstLine="0" w:firstLineChars="0"/>
              <w:jc w:val="center"/>
              <w:rPr>
                <w:rFonts w:ascii="Times New Roman" w:hAnsi="Times New Roman" w:eastAsia="仿宋"/>
                <w:color w:val="auto"/>
                <w:sz w:val="21"/>
                <w:szCs w:val="21"/>
                <w:highlight w:val="none"/>
              </w:rPr>
            </w:pPr>
          </w:p>
        </w:tc>
      </w:tr>
      <w:tr w14:paraId="6D27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9632" w:type="dxa"/>
            <w:gridSpan w:val="3"/>
            <w:tcBorders>
              <w:top w:val="single" w:color="auto" w:sz="4" w:space="0"/>
              <w:left w:val="single" w:color="auto" w:sz="4" w:space="0"/>
              <w:right w:val="single" w:color="auto" w:sz="4" w:space="0"/>
            </w:tcBorders>
            <w:vAlign w:val="center"/>
          </w:tcPr>
          <w:p w14:paraId="4FA0F6C3">
            <w:pPr>
              <w:pStyle w:val="12"/>
              <w:spacing w:line="500" w:lineRule="exact"/>
              <w:ind w:left="0" w:leftChars="0" w:firstLine="0" w:firstLineChars="0"/>
              <w:jc w:val="center"/>
              <w:rPr>
                <w:rFonts w:ascii="Times New Roman" w:hAnsi="Times New Roman" w:eastAsia="仿宋" w:cs="Times New Roman"/>
                <w:b/>
                <w:color w:val="auto"/>
                <w:sz w:val="21"/>
                <w:szCs w:val="21"/>
                <w:highlight w:val="none"/>
              </w:rPr>
            </w:pPr>
            <w:r>
              <w:rPr>
                <w:rFonts w:ascii="Times New Roman" w:hAnsi="Times New Roman" w:eastAsia="仿宋" w:cs="Times New Roman"/>
                <w:b/>
                <w:color w:val="auto"/>
                <w:sz w:val="21"/>
                <w:szCs w:val="21"/>
                <w:highlight w:val="none"/>
              </w:rPr>
              <w:t>比选报价</w:t>
            </w:r>
          </w:p>
        </w:tc>
      </w:tr>
      <w:tr w14:paraId="1A02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74" w:type="dxa"/>
            <w:vMerge w:val="restart"/>
            <w:tcBorders>
              <w:left w:val="single" w:color="auto" w:sz="4" w:space="0"/>
              <w:right w:val="single" w:color="auto" w:sz="4" w:space="0"/>
            </w:tcBorders>
            <w:vAlign w:val="center"/>
          </w:tcPr>
          <w:p w14:paraId="1C7C7C00">
            <w:pPr>
              <w:pStyle w:val="12"/>
              <w:spacing w:line="500" w:lineRule="exact"/>
              <w:ind w:left="0" w:leftChars="0" w:firstLine="0" w:firstLineChars="0"/>
              <w:jc w:val="center"/>
              <w:rPr>
                <w:rFonts w:ascii="Times New Roman" w:hAnsi="Times New Roman" w:eastAsia="仿宋" w:cs="Times New Roman"/>
                <w:b/>
                <w:color w:val="auto"/>
                <w:sz w:val="21"/>
                <w:szCs w:val="21"/>
                <w:highlight w:val="none"/>
              </w:rPr>
            </w:pPr>
            <w:r>
              <w:rPr>
                <w:rFonts w:ascii="Times New Roman" w:hAnsi="Times New Roman" w:eastAsia="仿宋" w:cs="Times New Roman"/>
                <w:b/>
                <w:color w:val="auto"/>
                <w:sz w:val="21"/>
                <w:szCs w:val="21"/>
                <w:highlight w:val="none"/>
              </w:rPr>
              <w:t>比选报价</w:t>
            </w: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6EADBB94">
            <w:pPr>
              <w:widowControl/>
              <w:spacing w:line="400" w:lineRule="exact"/>
              <w:ind w:firstLine="0" w:firstLineChars="0"/>
              <w:jc w:val="left"/>
              <w:rPr>
                <w:rFonts w:ascii="Times New Roman" w:hAnsi="Times New Roman" w:eastAsia="仿宋"/>
                <w:color w:val="auto"/>
                <w:sz w:val="21"/>
                <w:szCs w:val="21"/>
                <w:highlight w:val="none"/>
              </w:rPr>
            </w:pPr>
            <w:r>
              <w:rPr>
                <w:rFonts w:ascii="Times New Roman" w:hAnsi="Times New Roman" w:eastAsia="仿宋"/>
                <w:b/>
                <w:color w:val="auto"/>
                <w:sz w:val="21"/>
                <w:szCs w:val="21"/>
                <w:highlight w:val="none"/>
              </w:rPr>
              <w:t>小写（元）：</w:t>
            </w:r>
          </w:p>
        </w:tc>
      </w:tr>
      <w:tr w14:paraId="0458C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274" w:type="dxa"/>
            <w:vMerge w:val="continue"/>
            <w:tcBorders>
              <w:left w:val="single" w:color="auto" w:sz="4" w:space="0"/>
              <w:bottom w:val="single" w:color="auto" w:sz="4" w:space="0"/>
              <w:right w:val="single" w:color="auto" w:sz="4" w:space="0"/>
            </w:tcBorders>
            <w:vAlign w:val="center"/>
          </w:tcPr>
          <w:p w14:paraId="5A55737F">
            <w:pPr>
              <w:pStyle w:val="12"/>
              <w:spacing w:line="500" w:lineRule="exact"/>
              <w:ind w:left="0" w:leftChars="0" w:firstLine="0" w:firstLineChars="0"/>
              <w:jc w:val="left"/>
              <w:rPr>
                <w:rFonts w:ascii="Times New Roman" w:hAnsi="Times New Roman" w:eastAsia="仿宋" w:cs="Times New Roman"/>
                <w:b/>
                <w:color w:val="auto"/>
                <w:sz w:val="21"/>
                <w:szCs w:val="21"/>
                <w:highlight w:val="none"/>
              </w:rPr>
            </w:pPr>
          </w:p>
        </w:tc>
        <w:tc>
          <w:tcPr>
            <w:tcW w:w="8358" w:type="dxa"/>
            <w:gridSpan w:val="2"/>
            <w:tcBorders>
              <w:top w:val="single" w:color="auto" w:sz="4" w:space="0"/>
              <w:left w:val="single" w:color="auto" w:sz="4" w:space="0"/>
              <w:bottom w:val="single" w:color="auto" w:sz="4" w:space="0"/>
              <w:right w:val="single" w:color="auto" w:sz="4" w:space="0"/>
            </w:tcBorders>
            <w:vAlign w:val="center"/>
          </w:tcPr>
          <w:p w14:paraId="1B3CBE2F">
            <w:pPr>
              <w:widowControl/>
              <w:spacing w:line="400" w:lineRule="exact"/>
              <w:ind w:firstLine="0" w:firstLineChars="0"/>
              <w:jc w:val="left"/>
              <w:rPr>
                <w:rFonts w:ascii="Times New Roman" w:hAnsi="Times New Roman" w:eastAsia="仿宋"/>
                <w:color w:val="auto"/>
                <w:sz w:val="21"/>
                <w:szCs w:val="21"/>
                <w:highlight w:val="none"/>
              </w:rPr>
            </w:pPr>
            <w:r>
              <w:rPr>
                <w:rFonts w:ascii="Times New Roman" w:hAnsi="Times New Roman" w:eastAsia="仿宋"/>
                <w:b/>
                <w:color w:val="auto"/>
                <w:sz w:val="21"/>
                <w:szCs w:val="21"/>
                <w:highlight w:val="none"/>
              </w:rPr>
              <w:t>大写（元）：</w:t>
            </w:r>
          </w:p>
        </w:tc>
      </w:tr>
      <w:tr w14:paraId="65CA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9632" w:type="dxa"/>
            <w:gridSpan w:val="3"/>
            <w:tcBorders>
              <w:top w:val="single" w:color="auto" w:sz="4" w:space="0"/>
              <w:left w:val="single" w:color="auto" w:sz="4" w:space="0"/>
              <w:bottom w:val="single" w:color="auto" w:sz="4" w:space="0"/>
              <w:right w:val="single" w:color="auto" w:sz="4" w:space="0"/>
            </w:tcBorders>
            <w:vAlign w:val="center"/>
          </w:tcPr>
          <w:p w14:paraId="5D92DA38">
            <w:pPr>
              <w:spacing w:line="560" w:lineRule="exact"/>
              <w:ind w:firstLine="199" w:firstLineChars="95"/>
              <w:rPr>
                <w:rFonts w:ascii="Times New Roman" w:hAnsi="Times New Roman" w:eastAsia="仿宋"/>
                <w:color w:val="auto"/>
                <w:sz w:val="21"/>
                <w:szCs w:val="21"/>
                <w:highlight w:val="none"/>
              </w:rPr>
            </w:pPr>
            <w:r>
              <w:rPr>
                <w:rFonts w:ascii="Times New Roman" w:hAnsi="Times New Roman" w:eastAsia="仿宋"/>
                <w:color w:val="auto"/>
                <w:sz w:val="21"/>
                <w:szCs w:val="21"/>
                <w:highlight w:val="none"/>
              </w:rPr>
              <w:t>备注：</w:t>
            </w:r>
          </w:p>
        </w:tc>
      </w:tr>
    </w:tbl>
    <w:p w14:paraId="24E4EE3A">
      <w:pPr>
        <w:pStyle w:val="12"/>
        <w:spacing w:line="500" w:lineRule="exact"/>
        <w:ind w:left="0" w:leftChars="0" w:firstLine="0" w:firstLineChars="0"/>
        <w:rPr>
          <w:rFonts w:ascii="Times New Roman" w:hAnsi="Times New Roman" w:eastAsia="仿宋" w:cs="Times New Roman"/>
          <w:color w:val="auto"/>
          <w:sz w:val="24"/>
          <w:highlight w:val="none"/>
        </w:rPr>
      </w:pPr>
    </w:p>
    <w:p w14:paraId="7D93F2F8">
      <w:pPr>
        <w:spacing w:line="500" w:lineRule="exact"/>
        <w:ind w:firstLine="480"/>
        <w:rPr>
          <w:rFonts w:ascii="Times New Roman" w:hAnsi="Times New Roman" w:eastAsia="仿宋"/>
          <w:color w:val="auto"/>
          <w:sz w:val="24"/>
          <w:highlight w:val="none"/>
        </w:rPr>
      </w:pPr>
      <w:r>
        <w:rPr>
          <w:rFonts w:ascii="Times New Roman" w:hAnsi="Times New Roman" w:eastAsia="仿宋"/>
          <w:color w:val="auto"/>
          <w:sz w:val="24"/>
          <w:highlight w:val="none"/>
        </w:rPr>
        <w:t>参选人：                                法定代表人或法定代表人授权代表：</w:t>
      </w:r>
    </w:p>
    <w:p w14:paraId="2FDD145F">
      <w:pPr>
        <w:spacing w:line="500" w:lineRule="exact"/>
        <w:ind w:firstLine="480"/>
        <w:rPr>
          <w:rFonts w:ascii="Times New Roman" w:hAnsi="Times New Roman" w:eastAsia="仿宋"/>
          <w:color w:val="auto"/>
          <w:sz w:val="24"/>
          <w:highlight w:val="none"/>
        </w:rPr>
      </w:pPr>
      <w:r>
        <w:rPr>
          <w:rFonts w:ascii="Times New Roman" w:hAnsi="Times New Roman" w:eastAsia="仿宋"/>
          <w:color w:val="auto"/>
          <w:sz w:val="24"/>
          <w:highlight w:val="none"/>
        </w:rPr>
        <w:t xml:space="preserve">  （参选人公章）                               （签字或盖章）</w:t>
      </w:r>
    </w:p>
    <w:p w14:paraId="4F635927">
      <w:pPr>
        <w:spacing w:line="500" w:lineRule="exact"/>
        <w:ind w:firstLine="480"/>
        <w:rPr>
          <w:rFonts w:ascii="Times New Roman" w:hAnsi="Times New Roman" w:eastAsia="仿宋"/>
          <w:color w:val="auto"/>
          <w:sz w:val="24"/>
          <w:highlight w:val="none"/>
        </w:rPr>
      </w:pPr>
      <w:r>
        <w:rPr>
          <w:rFonts w:ascii="Times New Roman" w:hAnsi="Times New Roman" w:eastAsia="仿宋"/>
          <w:color w:val="auto"/>
          <w:sz w:val="24"/>
          <w:highlight w:val="none"/>
        </w:rPr>
        <w:t xml:space="preserve">                                             年     月     日</w:t>
      </w:r>
    </w:p>
    <w:p w14:paraId="31600270">
      <w:pPr>
        <w:spacing w:line="500" w:lineRule="exact"/>
        <w:ind w:firstLine="480"/>
        <w:rPr>
          <w:rFonts w:ascii="Times New Roman" w:hAnsi="Times New Roman" w:eastAsia="仿宋"/>
          <w:color w:val="auto"/>
          <w:sz w:val="24"/>
          <w:highlight w:val="none"/>
        </w:rPr>
      </w:pPr>
      <w:r>
        <w:rPr>
          <w:rFonts w:ascii="Times New Roman" w:hAnsi="Times New Roman" w:eastAsia="仿宋"/>
          <w:color w:val="auto"/>
          <w:sz w:val="24"/>
          <w:highlight w:val="none"/>
        </w:rPr>
        <w:t>说明：</w:t>
      </w:r>
    </w:p>
    <w:p w14:paraId="4B4A5149">
      <w:pPr>
        <w:spacing w:line="500" w:lineRule="exact"/>
        <w:ind w:firstLine="480"/>
        <w:rPr>
          <w:rFonts w:ascii="Times New Roman" w:hAnsi="Times New Roman" w:eastAsia="仿宋"/>
          <w:color w:val="auto"/>
          <w:sz w:val="24"/>
          <w:highlight w:val="none"/>
        </w:rPr>
      </w:pPr>
      <w:r>
        <w:rPr>
          <w:rFonts w:ascii="Times New Roman" w:hAnsi="Times New Roman" w:eastAsia="仿宋"/>
          <w:color w:val="auto"/>
          <w:sz w:val="24"/>
          <w:highlight w:val="none"/>
        </w:rPr>
        <w:t>1.报价一览表按格式填列；</w:t>
      </w:r>
    </w:p>
    <w:p w14:paraId="7D1D4C1C">
      <w:pPr>
        <w:spacing w:line="500" w:lineRule="exact"/>
        <w:ind w:firstLine="480"/>
        <w:rPr>
          <w:rFonts w:ascii="Times New Roman" w:hAnsi="Times New Roman" w:eastAsia="仿宋"/>
          <w:color w:val="auto"/>
          <w:sz w:val="24"/>
          <w:highlight w:val="none"/>
        </w:rPr>
      </w:pPr>
      <w:r>
        <w:rPr>
          <w:rFonts w:ascii="Times New Roman" w:hAnsi="Times New Roman" w:eastAsia="仿宋"/>
          <w:color w:val="auto"/>
          <w:sz w:val="24"/>
          <w:highlight w:val="none"/>
        </w:rPr>
        <w:t>2.报价一览表在比选现场上当众宣读，务必填写清楚，准确无误</w:t>
      </w:r>
      <w:bookmarkEnd w:id="224"/>
      <w:r>
        <w:rPr>
          <w:rFonts w:ascii="Times New Roman" w:hAnsi="Times New Roman" w:eastAsia="仿宋"/>
          <w:color w:val="auto"/>
          <w:sz w:val="24"/>
          <w:highlight w:val="none"/>
        </w:rPr>
        <w:t>。</w:t>
      </w:r>
    </w:p>
    <w:p w14:paraId="67FDD245">
      <w:pPr>
        <w:pStyle w:val="2"/>
        <w:ind w:firstLine="480"/>
        <w:rPr>
          <w:rFonts w:eastAsia="仿宋"/>
          <w:color w:val="auto"/>
          <w:highlight w:val="none"/>
        </w:rPr>
      </w:pPr>
    </w:p>
    <w:p w14:paraId="0F7883E6">
      <w:pPr>
        <w:ind w:firstLine="0" w:firstLineChars="0"/>
        <w:rPr>
          <w:rFonts w:ascii="Times New Roman" w:hAnsi="Times New Roman" w:eastAsia="仿宋"/>
          <w:color w:val="auto"/>
          <w:highlight w:val="none"/>
        </w:rPr>
      </w:pPr>
    </w:p>
    <w:p w14:paraId="1D68D870">
      <w:pPr>
        <w:ind w:firstLine="0" w:firstLineChars="0"/>
        <w:rPr>
          <w:rFonts w:ascii="Times New Roman" w:hAnsi="Times New Roman"/>
          <w:color w:val="auto"/>
          <w:highlight w:val="none"/>
        </w:rPr>
      </w:pPr>
    </w:p>
    <w:p w14:paraId="5A43F7E9">
      <w:pPr>
        <w:widowControl/>
        <w:numPr>
          <w:ilvl w:val="0"/>
          <w:numId w:val="2"/>
        </w:numPr>
        <w:ind w:firstLine="0" w:firstLineChars="0"/>
        <w:jc w:val="left"/>
        <w:rPr>
          <w:rFonts w:ascii="Times New Roman" w:hAnsi="Times New Roman" w:eastAsia="仿宋"/>
          <w:b/>
          <w:color w:val="auto"/>
          <w:szCs w:val="28"/>
          <w:highlight w:val="none"/>
        </w:rPr>
      </w:pPr>
      <w:r>
        <w:rPr>
          <w:rFonts w:ascii="Times New Roman" w:hAnsi="Times New Roman" w:eastAsia="仿宋"/>
          <w:b/>
          <w:color w:val="auto"/>
          <w:szCs w:val="28"/>
          <w:highlight w:val="none"/>
        </w:rPr>
        <w:t>服务</w:t>
      </w:r>
      <w:r>
        <w:rPr>
          <w:rStyle w:val="19"/>
          <w:rFonts w:hint="eastAsia" w:ascii="Times New Roman" w:hAnsi="Times New Roman" w:eastAsia="仿宋"/>
          <w:color w:val="auto"/>
          <w:highlight w:val="none"/>
          <w:u w:val="none"/>
        </w:rPr>
        <w:t>/</w:t>
      </w:r>
      <w:r>
        <w:rPr>
          <w:rFonts w:ascii="Times New Roman" w:hAnsi="Times New Roman" w:eastAsia="仿宋"/>
          <w:b/>
          <w:color w:val="auto"/>
          <w:szCs w:val="28"/>
          <w:highlight w:val="none"/>
        </w:rPr>
        <w:t>技术文件</w:t>
      </w:r>
    </w:p>
    <w:p w14:paraId="7C8A7A76">
      <w:pPr>
        <w:widowControl/>
        <w:spacing w:line="240" w:lineRule="auto"/>
        <w:ind w:firstLine="0" w:firstLineChars="0"/>
        <w:jc w:val="left"/>
        <w:rPr>
          <w:rFonts w:ascii="Times New Roman" w:hAnsi="Times New Roman" w:eastAsia="仿宋"/>
          <w:color w:val="auto"/>
          <w:szCs w:val="28"/>
          <w:highlight w:val="none"/>
        </w:rPr>
      </w:pPr>
      <w:r>
        <w:rPr>
          <w:rFonts w:ascii="Times New Roman" w:hAnsi="Times New Roman" w:eastAsia="仿宋"/>
          <w:color w:val="auto"/>
          <w:szCs w:val="28"/>
          <w:highlight w:val="none"/>
        </w:rPr>
        <w:t>1.服务</w:t>
      </w:r>
      <w:r>
        <w:rPr>
          <w:rStyle w:val="19"/>
          <w:rFonts w:hint="eastAsia" w:ascii="Times New Roman" w:hAnsi="Times New Roman" w:eastAsia="仿宋"/>
          <w:color w:val="auto"/>
          <w:highlight w:val="none"/>
          <w:u w:val="none"/>
        </w:rPr>
        <w:t>/</w:t>
      </w:r>
      <w:r>
        <w:rPr>
          <w:rFonts w:ascii="Times New Roman" w:hAnsi="Times New Roman" w:eastAsia="仿宋"/>
          <w:color w:val="auto"/>
          <w:highlight w:val="none"/>
        </w:rPr>
        <w:t>技术</w:t>
      </w:r>
      <w:r>
        <w:rPr>
          <w:rFonts w:ascii="Times New Roman" w:hAnsi="Times New Roman" w:eastAsia="仿宋"/>
          <w:color w:val="auto"/>
          <w:szCs w:val="28"/>
          <w:highlight w:val="none"/>
        </w:rPr>
        <w:t>要求应答承诺书</w:t>
      </w:r>
    </w:p>
    <w:p w14:paraId="6788F262">
      <w:pPr>
        <w:tabs>
          <w:tab w:val="left" w:pos="6300"/>
        </w:tabs>
        <w:snapToGrid w:val="0"/>
        <w:spacing w:line="500" w:lineRule="exact"/>
        <w:ind w:firstLine="0" w:firstLineChars="0"/>
        <w:rPr>
          <w:rFonts w:ascii="Times New Roman" w:hAnsi="Times New Roman" w:eastAsia="宋体"/>
          <w:color w:val="auto"/>
          <w:sz w:val="24"/>
          <w:highlight w:val="none"/>
        </w:rPr>
      </w:pPr>
    </w:p>
    <w:p w14:paraId="0BC77AA3">
      <w:pPr>
        <w:tabs>
          <w:tab w:val="left" w:pos="6300"/>
        </w:tabs>
        <w:snapToGrid w:val="0"/>
        <w:spacing w:line="500" w:lineRule="exact"/>
        <w:ind w:firstLine="480"/>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技术要求应答承诺书</w:t>
      </w:r>
    </w:p>
    <w:p w14:paraId="7EB87B4E">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比选项目名称：</w:t>
      </w:r>
    </w:p>
    <w:p w14:paraId="065F531B">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致：（采购人名称）</w:t>
      </w:r>
    </w:p>
    <w:p w14:paraId="1203D85A">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（供应商名称）郑重承诺：</w:t>
      </w:r>
    </w:p>
    <w:p w14:paraId="388FA83F">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1﹒我方承诺应答并完全满足竞争性比选文件第二篇“项目技术</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服务需求”中所提出的全部技术服务条款要求，否则自愿被评定为无效参选。</w:t>
      </w:r>
    </w:p>
    <w:p w14:paraId="7A365186">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2﹒我方承诺，若我方中标，在项目实施过程中，我方未遵守和执行竞争性比选文件第二篇“项目技术</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服务需求”和我方响应文件中承诺优于竞争性比选文件要求的技术服务条款时，我方自愿随时被采购人终止并解除服务合同，由本公司自行承担一切相应的损失。</w:t>
      </w:r>
    </w:p>
    <w:p w14:paraId="10E27D51">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3﹒我方承诺优于比选项目技术服务需求的内容如下：</w:t>
      </w:r>
    </w:p>
    <w:p w14:paraId="5BEE34D0">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p>
    <w:p w14:paraId="5C6CE5BB">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p>
    <w:p w14:paraId="58B60C6D">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w:t>
      </w:r>
    </w:p>
    <w:p w14:paraId="5B07951A">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（如果有，请供应商逐条对照列示。）</w:t>
      </w:r>
    </w:p>
    <w:p w14:paraId="4CEFE8AD">
      <w:pPr>
        <w:tabs>
          <w:tab w:val="left" w:pos="6300"/>
        </w:tabs>
        <w:snapToGrid w:val="0"/>
        <w:spacing w:line="500" w:lineRule="exact"/>
        <w:ind w:firstLine="560" w:firstLineChars="0"/>
        <w:rPr>
          <w:rFonts w:ascii="宋体" w:hAnsi="宋体" w:eastAsia="宋体" w:cs="宋体"/>
          <w:color w:val="auto"/>
          <w:sz w:val="24"/>
          <w:highlight w:val="none"/>
        </w:rPr>
      </w:pPr>
    </w:p>
    <w:p w14:paraId="2ABE13B5">
      <w:pPr>
        <w:tabs>
          <w:tab w:val="left" w:pos="6300"/>
        </w:tabs>
        <w:snapToGrid w:val="0"/>
        <w:spacing w:line="500" w:lineRule="exact"/>
        <w:ind w:firstLine="56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法定代表人（或代理人）签名或盖章：</w:t>
      </w:r>
    </w:p>
    <w:p w14:paraId="5906DEF1">
      <w:pPr>
        <w:tabs>
          <w:tab w:val="left" w:pos="6300"/>
        </w:tabs>
        <w:snapToGrid w:val="0"/>
        <w:spacing w:line="500" w:lineRule="exact"/>
        <w:ind w:firstLine="56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法定代表人（或代理人）联系电话：</w:t>
      </w:r>
    </w:p>
    <w:p w14:paraId="77A3BBBC">
      <w:pPr>
        <w:tabs>
          <w:tab w:val="left" w:pos="6300"/>
        </w:tabs>
        <w:snapToGrid w:val="0"/>
        <w:spacing w:line="50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5F66029F">
      <w:pPr>
        <w:tabs>
          <w:tab w:val="left" w:pos="6300"/>
        </w:tabs>
        <w:snapToGrid w:val="0"/>
        <w:spacing w:line="500" w:lineRule="exact"/>
        <w:ind w:firstLine="56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年月日</w:t>
      </w:r>
    </w:p>
    <w:p w14:paraId="677F7A2E">
      <w:pPr>
        <w:pStyle w:val="8"/>
        <w:numPr>
          <w:ilvl w:val="255"/>
          <w:numId w:val="0"/>
        </w:numPr>
        <w:rPr>
          <w:rFonts w:ascii="宋体" w:hAnsi="宋体" w:eastAsia="宋体" w:cs="宋体"/>
          <w:color w:val="auto"/>
          <w:sz w:val="24"/>
          <w:highlight w:val="none"/>
        </w:rPr>
      </w:pPr>
    </w:p>
    <w:p w14:paraId="207F308C">
      <w:pPr>
        <w:pStyle w:val="9"/>
        <w:ind w:firstLine="280"/>
        <w:rPr>
          <w:color w:val="auto"/>
          <w:highlight w:val="none"/>
        </w:rPr>
      </w:pPr>
    </w:p>
    <w:p w14:paraId="4A762BAC">
      <w:pPr>
        <w:snapToGrid w:val="0"/>
        <w:spacing w:line="560" w:lineRule="exact"/>
        <w:ind w:firstLine="0" w:firstLineChars="0"/>
        <w:rPr>
          <w:rFonts w:ascii="Times New Roman" w:hAnsi="Times New Roman" w:eastAsia="仿宋"/>
          <w:bCs/>
          <w:color w:val="auto"/>
          <w:sz w:val="32"/>
          <w:szCs w:val="32"/>
          <w:highlight w:val="none"/>
        </w:rPr>
      </w:pPr>
      <w:r>
        <w:rPr>
          <w:rFonts w:ascii="Times New Roman" w:hAnsi="Times New Roman" w:eastAsia="仿宋"/>
          <w:color w:val="auto"/>
          <w:highlight w:val="none"/>
        </w:rPr>
        <w:t>2. 其他服务技术部分资料</w:t>
      </w:r>
    </w:p>
    <w:p w14:paraId="327643E5">
      <w:pPr>
        <w:widowControl/>
        <w:ind w:firstLine="0" w:firstLineChars="0"/>
        <w:jc w:val="left"/>
        <w:rPr>
          <w:rFonts w:ascii="Times New Roman" w:hAnsi="Times New Roman" w:eastAsia="仿宋"/>
          <w:color w:val="auto"/>
          <w:szCs w:val="28"/>
          <w:highlight w:val="none"/>
        </w:rPr>
      </w:pPr>
    </w:p>
    <w:p w14:paraId="7E177CEF">
      <w:pPr>
        <w:widowControl/>
        <w:ind w:firstLine="0" w:firstLineChars="0"/>
        <w:jc w:val="left"/>
        <w:rPr>
          <w:rFonts w:ascii="Times New Roman" w:hAnsi="Times New Roman" w:eastAsia="仿宋"/>
          <w:color w:val="auto"/>
          <w:szCs w:val="28"/>
          <w:highlight w:val="none"/>
        </w:rPr>
      </w:pPr>
    </w:p>
    <w:p w14:paraId="6620C75F">
      <w:pPr>
        <w:widowControl/>
        <w:ind w:firstLine="0" w:firstLineChars="0"/>
        <w:jc w:val="left"/>
        <w:rPr>
          <w:rFonts w:ascii="Times New Roman" w:hAnsi="Times New Roman" w:eastAsia="仿宋"/>
          <w:color w:val="auto"/>
          <w:szCs w:val="28"/>
          <w:highlight w:val="none"/>
        </w:rPr>
      </w:pPr>
    </w:p>
    <w:p w14:paraId="128D6CBE">
      <w:pPr>
        <w:widowControl/>
        <w:ind w:firstLine="0" w:firstLineChars="0"/>
        <w:jc w:val="left"/>
        <w:rPr>
          <w:rFonts w:ascii="Times New Roman" w:hAnsi="Times New Roman" w:eastAsia="仿宋"/>
          <w:color w:val="auto"/>
          <w:szCs w:val="28"/>
          <w:highlight w:val="none"/>
        </w:rPr>
      </w:pPr>
    </w:p>
    <w:p w14:paraId="569177B5">
      <w:pPr>
        <w:widowControl/>
        <w:ind w:firstLine="0" w:firstLineChars="0"/>
        <w:jc w:val="left"/>
        <w:rPr>
          <w:rFonts w:ascii="Times New Roman" w:hAnsi="Times New Roman" w:eastAsia="仿宋"/>
          <w:color w:val="auto"/>
          <w:szCs w:val="28"/>
          <w:highlight w:val="none"/>
        </w:rPr>
      </w:pPr>
    </w:p>
    <w:p w14:paraId="25AA4DEC">
      <w:pPr>
        <w:widowControl/>
        <w:ind w:firstLine="0" w:firstLineChars="0"/>
        <w:jc w:val="left"/>
        <w:rPr>
          <w:rFonts w:ascii="Times New Roman" w:hAnsi="Times New Roman" w:eastAsia="仿宋"/>
          <w:color w:val="auto"/>
          <w:szCs w:val="28"/>
          <w:highlight w:val="none"/>
        </w:rPr>
      </w:pPr>
    </w:p>
    <w:p w14:paraId="117C112E">
      <w:pPr>
        <w:widowControl/>
        <w:ind w:firstLine="0" w:firstLineChars="0"/>
        <w:jc w:val="left"/>
        <w:rPr>
          <w:rFonts w:ascii="Times New Roman" w:hAnsi="Times New Roman" w:eastAsia="仿宋"/>
          <w:color w:val="auto"/>
          <w:szCs w:val="28"/>
          <w:highlight w:val="none"/>
        </w:rPr>
      </w:pPr>
    </w:p>
    <w:p w14:paraId="5FABDF43">
      <w:pPr>
        <w:widowControl/>
        <w:ind w:firstLine="0" w:firstLineChars="0"/>
        <w:jc w:val="left"/>
        <w:rPr>
          <w:rFonts w:ascii="Times New Roman" w:hAnsi="Times New Roman" w:eastAsia="仿宋"/>
          <w:color w:val="auto"/>
          <w:szCs w:val="28"/>
          <w:highlight w:val="none"/>
        </w:rPr>
      </w:pPr>
    </w:p>
    <w:p w14:paraId="5FA0E71A">
      <w:pPr>
        <w:widowControl/>
        <w:ind w:firstLine="0" w:firstLineChars="0"/>
        <w:jc w:val="left"/>
        <w:rPr>
          <w:rFonts w:ascii="Times New Roman" w:hAnsi="Times New Roman" w:eastAsia="仿宋"/>
          <w:color w:val="auto"/>
          <w:szCs w:val="28"/>
          <w:highlight w:val="none"/>
        </w:rPr>
      </w:pPr>
    </w:p>
    <w:p w14:paraId="3ACEC183">
      <w:pPr>
        <w:widowControl/>
        <w:ind w:firstLine="0" w:firstLineChars="0"/>
        <w:jc w:val="left"/>
        <w:rPr>
          <w:rFonts w:ascii="Times New Roman" w:hAnsi="Times New Roman" w:eastAsia="仿宋"/>
          <w:color w:val="auto"/>
          <w:szCs w:val="28"/>
          <w:highlight w:val="none"/>
        </w:rPr>
      </w:pPr>
    </w:p>
    <w:p w14:paraId="28E29C1A">
      <w:pPr>
        <w:widowControl/>
        <w:ind w:firstLine="0" w:firstLineChars="0"/>
        <w:jc w:val="left"/>
        <w:rPr>
          <w:rFonts w:ascii="Times New Roman" w:hAnsi="Times New Roman" w:eastAsia="仿宋"/>
          <w:color w:val="auto"/>
          <w:szCs w:val="28"/>
          <w:highlight w:val="none"/>
        </w:rPr>
      </w:pPr>
    </w:p>
    <w:p w14:paraId="188B5F4C">
      <w:pPr>
        <w:widowControl/>
        <w:ind w:firstLine="0" w:firstLineChars="0"/>
        <w:jc w:val="left"/>
        <w:rPr>
          <w:rFonts w:ascii="Times New Roman" w:hAnsi="Times New Roman" w:eastAsia="仿宋"/>
          <w:color w:val="auto"/>
          <w:szCs w:val="28"/>
          <w:highlight w:val="none"/>
        </w:rPr>
      </w:pPr>
    </w:p>
    <w:p w14:paraId="35D3B5E2">
      <w:pPr>
        <w:widowControl/>
        <w:ind w:firstLine="0" w:firstLineChars="0"/>
        <w:jc w:val="left"/>
        <w:rPr>
          <w:rFonts w:ascii="Times New Roman" w:hAnsi="Times New Roman" w:eastAsia="仿宋"/>
          <w:color w:val="auto"/>
          <w:szCs w:val="28"/>
          <w:highlight w:val="none"/>
        </w:rPr>
      </w:pPr>
    </w:p>
    <w:p w14:paraId="15F57FB0">
      <w:pPr>
        <w:widowControl/>
        <w:ind w:firstLine="0" w:firstLineChars="0"/>
        <w:jc w:val="left"/>
        <w:rPr>
          <w:rFonts w:ascii="Times New Roman" w:hAnsi="Times New Roman" w:eastAsia="仿宋"/>
          <w:color w:val="auto"/>
          <w:szCs w:val="28"/>
          <w:highlight w:val="none"/>
        </w:rPr>
      </w:pPr>
    </w:p>
    <w:p w14:paraId="06303B96">
      <w:pPr>
        <w:widowControl/>
        <w:ind w:firstLine="0" w:firstLineChars="0"/>
        <w:jc w:val="left"/>
        <w:rPr>
          <w:rFonts w:ascii="Times New Roman" w:hAnsi="Times New Roman" w:eastAsia="仿宋"/>
          <w:color w:val="auto"/>
          <w:szCs w:val="28"/>
          <w:highlight w:val="none"/>
        </w:rPr>
      </w:pPr>
    </w:p>
    <w:p w14:paraId="036AA943">
      <w:pPr>
        <w:widowControl/>
        <w:ind w:firstLine="0" w:firstLineChars="0"/>
        <w:jc w:val="left"/>
        <w:rPr>
          <w:rFonts w:ascii="Times New Roman" w:hAnsi="Times New Roman" w:eastAsia="仿宋"/>
          <w:color w:val="auto"/>
          <w:szCs w:val="28"/>
          <w:highlight w:val="none"/>
        </w:rPr>
      </w:pPr>
    </w:p>
    <w:p w14:paraId="2DEC128F">
      <w:pPr>
        <w:widowControl/>
        <w:ind w:firstLine="0" w:firstLineChars="0"/>
        <w:jc w:val="left"/>
        <w:rPr>
          <w:rFonts w:ascii="Times New Roman" w:hAnsi="Times New Roman" w:eastAsia="仿宋"/>
          <w:color w:val="auto"/>
          <w:szCs w:val="28"/>
          <w:highlight w:val="none"/>
        </w:rPr>
      </w:pPr>
    </w:p>
    <w:p w14:paraId="5490B9A9">
      <w:pPr>
        <w:widowControl/>
        <w:ind w:firstLine="0" w:firstLineChars="0"/>
        <w:jc w:val="left"/>
        <w:rPr>
          <w:rFonts w:ascii="Times New Roman" w:hAnsi="Times New Roman" w:eastAsia="仿宋"/>
          <w:color w:val="auto"/>
          <w:szCs w:val="28"/>
          <w:highlight w:val="none"/>
        </w:rPr>
      </w:pPr>
    </w:p>
    <w:p w14:paraId="4F2F6DB2">
      <w:pPr>
        <w:widowControl/>
        <w:ind w:firstLine="0" w:firstLineChars="0"/>
        <w:jc w:val="left"/>
        <w:rPr>
          <w:rFonts w:ascii="Times New Roman" w:hAnsi="Times New Roman" w:eastAsia="仿宋"/>
          <w:color w:val="auto"/>
          <w:szCs w:val="28"/>
          <w:highlight w:val="none"/>
        </w:rPr>
      </w:pPr>
    </w:p>
    <w:p w14:paraId="699035AE">
      <w:pPr>
        <w:widowControl/>
        <w:ind w:firstLine="0" w:firstLineChars="0"/>
        <w:jc w:val="left"/>
        <w:rPr>
          <w:rFonts w:ascii="Times New Roman" w:hAnsi="Times New Roman" w:eastAsia="仿宋"/>
          <w:color w:val="auto"/>
          <w:szCs w:val="28"/>
          <w:highlight w:val="none"/>
        </w:rPr>
      </w:pPr>
    </w:p>
    <w:p w14:paraId="5C684341">
      <w:pPr>
        <w:widowControl/>
        <w:ind w:firstLine="0" w:firstLineChars="0"/>
        <w:jc w:val="left"/>
        <w:rPr>
          <w:rFonts w:ascii="Times New Roman" w:hAnsi="Times New Roman" w:eastAsia="仿宋"/>
          <w:color w:val="auto"/>
          <w:szCs w:val="28"/>
          <w:highlight w:val="none"/>
        </w:rPr>
      </w:pPr>
    </w:p>
    <w:p w14:paraId="26E8F5CC">
      <w:pPr>
        <w:widowControl/>
        <w:ind w:firstLine="0" w:firstLineChars="0"/>
        <w:jc w:val="left"/>
        <w:rPr>
          <w:rFonts w:ascii="Times New Roman" w:hAnsi="Times New Roman" w:eastAsia="仿宋"/>
          <w:b/>
          <w:color w:val="auto"/>
          <w:szCs w:val="28"/>
          <w:highlight w:val="none"/>
        </w:rPr>
      </w:pPr>
      <w:r>
        <w:rPr>
          <w:rFonts w:ascii="Times New Roman" w:hAnsi="Times New Roman" w:eastAsia="仿宋"/>
          <w:b/>
          <w:color w:val="auto"/>
          <w:szCs w:val="28"/>
          <w:highlight w:val="none"/>
        </w:rPr>
        <w:t>三、商务部分</w:t>
      </w:r>
    </w:p>
    <w:p w14:paraId="522A5D23">
      <w:pPr>
        <w:widowControl/>
        <w:ind w:firstLine="0" w:firstLineChars="0"/>
        <w:jc w:val="left"/>
        <w:rPr>
          <w:rFonts w:ascii="宋体" w:hAnsi="宋体" w:eastAsia="宋体" w:cs="宋体"/>
          <w:color w:val="auto"/>
          <w:sz w:val="24"/>
          <w:highlight w:val="none"/>
        </w:rPr>
      </w:pPr>
      <w:r>
        <w:rPr>
          <w:rFonts w:hint="eastAsia" w:ascii="宋体" w:hAnsi="宋体" w:eastAsia="宋体" w:cs="宋体"/>
          <w:color w:val="auto"/>
          <w:sz w:val="24"/>
          <w:highlight w:val="none"/>
        </w:rPr>
        <w:t>1.比选函</w:t>
      </w:r>
    </w:p>
    <w:p w14:paraId="3E43F33D">
      <w:pPr>
        <w:snapToGrid w:val="0"/>
        <w:spacing w:before="190" w:beforeLines="50" w:line="500" w:lineRule="exact"/>
        <w:ind w:firstLine="480"/>
        <w:jc w:val="center"/>
        <w:rPr>
          <w:rFonts w:ascii="宋体" w:hAnsi="宋体" w:eastAsia="宋体" w:cs="宋体"/>
          <w:color w:val="auto"/>
          <w:sz w:val="24"/>
          <w:highlight w:val="none"/>
        </w:rPr>
      </w:pPr>
      <w:r>
        <w:rPr>
          <w:rFonts w:hint="eastAsia" w:ascii="宋体" w:hAnsi="宋体" w:eastAsia="宋体" w:cs="宋体"/>
          <w:color w:val="auto"/>
          <w:sz w:val="24"/>
          <w:highlight w:val="none"/>
        </w:rPr>
        <w:t>比选函（格式）</w:t>
      </w:r>
    </w:p>
    <w:p w14:paraId="4FD737BC">
      <w:pPr>
        <w:spacing w:line="500" w:lineRule="exact"/>
        <w:ind w:firstLine="480"/>
        <w:rPr>
          <w:rFonts w:ascii="宋体" w:hAnsi="宋体" w:eastAsia="宋体" w:cs="宋体"/>
          <w:color w:val="auto"/>
          <w:sz w:val="24"/>
          <w:highlight w:val="none"/>
          <w:u w:val="single"/>
        </w:rPr>
      </w:pPr>
      <w:r>
        <w:rPr>
          <w:rFonts w:hint="eastAsia" w:ascii="宋体" w:hAnsi="宋体" w:eastAsia="宋体" w:cs="宋体"/>
          <w:color w:val="auto"/>
          <w:sz w:val="24"/>
          <w:highlight w:val="none"/>
        </w:rPr>
        <w:t>比选项目名称：</w:t>
      </w:r>
      <w:r>
        <w:rPr>
          <w:rFonts w:hint="eastAsia" w:ascii="宋体" w:hAnsi="宋体" w:eastAsia="宋体" w:cs="宋体"/>
          <w:color w:val="auto"/>
          <w:sz w:val="24"/>
          <w:highlight w:val="none"/>
          <w:u w:val="single"/>
        </w:rPr>
        <w:t xml:space="preserve">                                             </w:t>
      </w:r>
    </w:p>
    <w:p w14:paraId="0E821991">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301B833A">
      <w:pPr>
        <w:snapToGrid w:val="0"/>
        <w:spacing w:before="190" w:beforeLines="50"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（参选人名称）系中华人民共和国合法企业，注册地址：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。我方就参加本次比选有关事项郑重声明如下：</w:t>
      </w:r>
    </w:p>
    <w:p w14:paraId="2A8620B6">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一、我方完全理解并接受该项目比选文件所有要求。</w:t>
      </w:r>
    </w:p>
    <w:p w14:paraId="76A1BB62">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二、我方提交的所有参选文件、资料都是准确和真实的，如有虚假或隐瞒，我方愿意承担一切法律责任。</w:t>
      </w:r>
    </w:p>
    <w:p w14:paraId="359E9391">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三、我方承诺按照比选文件要求，提供比选项目的技术服务。</w:t>
      </w:r>
    </w:p>
    <w:p w14:paraId="1F8FE9FC">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四、我方按比选文件要求提交的参选文件为：参选文件正本1份，副本1份。</w:t>
      </w:r>
    </w:p>
    <w:p w14:paraId="6F1026E2">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五、我方承诺：本次比选的比选有效期为比选截止日期起90天内。</w:t>
      </w:r>
    </w:p>
    <w:p w14:paraId="59B0B119">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六、我方比选报价为闭口价。即在比选有效期和合同有效期内，该报价固定不变。</w:t>
      </w:r>
    </w:p>
    <w:p w14:paraId="6A86F5CE">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七、如果我方中选，我方将履行比选文件中规定的各项要求以及我方参选文件的各项承诺，按《中华人民共和国政府采购法》《中华人民共和国民法典》及合同约定条款承担我方责任。</w:t>
      </w:r>
    </w:p>
    <w:p w14:paraId="5690C4FD">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八、我方未为采购项目提供整体设计、规范编制或者项目管理、监理、检测等服务。</w:t>
      </w:r>
    </w:p>
    <w:p w14:paraId="0AE1FFFF">
      <w:pPr>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九、我方理解，最低报价不是中选的唯一条件。</w:t>
      </w:r>
    </w:p>
    <w:p w14:paraId="1B268433">
      <w:pPr>
        <w:snapToGrid w:val="0"/>
        <w:spacing w:line="500" w:lineRule="exact"/>
        <w:ind w:firstLine="0" w:firstLineChars="0"/>
        <w:rPr>
          <w:rFonts w:ascii="宋体" w:hAnsi="宋体" w:eastAsia="宋体" w:cs="宋体"/>
          <w:color w:val="auto"/>
          <w:sz w:val="24"/>
          <w:highlight w:val="none"/>
        </w:rPr>
      </w:pPr>
    </w:p>
    <w:p w14:paraId="2FAA5299">
      <w:pPr>
        <w:pStyle w:val="8"/>
        <w:ind w:firstLine="560"/>
        <w:rPr>
          <w:highlight w:val="none"/>
        </w:rPr>
      </w:pPr>
    </w:p>
    <w:p w14:paraId="342F88A8">
      <w:pPr>
        <w:snapToGrid w:val="0"/>
        <w:spacing w:line="500" w:lineRule="exact"/>
        <w:ind w:firstLine="5460" w:firstLineChars="2275"/>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1E9A5D0A">
      <w:pPr>
        <w:widowControl/>
        <w:snapToGrid w:val="0"/>
        <w:spacing w:line="500" w:lineRule="exact"/>
        <w:ind w:firstLine="5760" w:firstLineChars="2400"/>
        <w:jc w:val="lef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14:paraId="22F01177">
      <w:pPr>
        <w:widowControl/>
        <w:numPr>
          <w:ilvl w:val="255"/>
          <w:numId w:val="0"/>
        </w:numPr>
        <w:jc w:val="left"/>
        <w:rPr>
          <w:rFonts w:ascii="Times New Roman" w:hAnsi="Times New Roman" w:eastAsia="仿宋"/>
          <w:color w:val="auto"/>
          <w:szCs w:val="28"/>
          <w:highlight w:val="none"/>
        </w:rPr>
      </w:pPr>
      <w:r>
        <w:rPr>
          <w:rFonts w:ascii="Times New Roman" w:hAnsi="Times New Roman" w:eastAsia="仿宋"/>
          <w:color w:val="auto"/>
          <w:szCs w:val="28"/>
          <w:highlight w:val="none"/>
        </w:rPr>
        <w:t>2.商务要求应答承诺书</w:t>
      </w:r>
    </w:p>
    <w:p w14:paraId="6EDACAFC">
      <w:pPr>
        <w:tabs>
          <w:tab w:val="left" w:pos="6300"/>
        </w:tabs>
        <w:snapToGrid w:val="0"/>
        <w:spacing w:line="500" w:lineRule="exact"/>
        <w:ind w:firstLine="480"/>
        <w:jc w:val="center"/>
        <w:rPr>
          <w:rFonts w:ascii="宋体" w:hAnsi="宋体" w:eastAsia="宋体" w:cs="宋体"/>
          <w:color w:val="auto"/>
          <w:sz w:val="24"/>
          <w:highlight w:val="none"/>
        </w:rPr>
      </w:pPr>
      <w:bookmarkStart w:id="225" w:name="_Toc24275"/>
      <w:bookmarkStart w:id="226" w:name="_Toc97027591"/>
      <w:bookmarkStart w:id="227" w:name="_Toc101362777"/>
      <w:bookmarkStart w:id="228" w:name="_Toc25952"/>
      <w:bookmarkStart w:id="229" w:name="_Toc106896351"/>
      <w:bookmarkStart w:id="230" w:name="_Toc26028"/>
      <w:bookmarkStart w:id="231" w:name="_Toc10836"/>
      <w:r>
        <w:rPr>
          <w:rFonts w:hint="eastAsia" w:ascii="宋体" w:hAnsi="宋体" w:eastAsia="宋体" w:cs="宋体"/>
          <w:color w:val="auto"/>
          <w:sz w:val="24"/>
          <w:highlight w:val="none"/>
        </w:rPr>
        <w:t>商务要求应答承诺书</w:t>
      </w:r>
      <w:bookmarkEnd w:id="225"/>
      <w:bookmarkEnd w:id="226"/>
      <w:bookmarkEnd w:id="227"/>
      <w:bookmarkEnd w:id="228"/>
      <w:bookmarkEnd w:id="229"/>
      <w:bookmarkEnd w:id="230"/>
      <w:bookmarkEnd w:id="231"/>
    </w:p>
    <w:p w14:paraId="5AAA0DB2">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比选项目名称：</w:t>
      </w:r>
    </w:p>
    <w:p w14:paraId="48DC5216">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致：（采购人名称）：</w:t>
      </w:r>
    </w:p>
    <w:p w14:paraId="4745E976">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（供应商名称）郑重承诺：</w:t>
      </w:r>
    </w:p>
    <w:p w14:paraId="601A3B0B">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1﹒我方承诺应答并完全满足竞争性比选文件第三篇“项目商务要求”中所提出的全部商务条款要求，否则自愿被评定为无效参选。</w:t>
      </w:r>
    </w:p>
    <w:p w14:paraId="6957F367">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我方承诺，若我方中标，在项目实施过程中，我方未遵守和执行竞争性比选文件第三篇“项目商务要求”和我方响应文件中承诺优于竞争性比选文件要求的商务条款时，我方自愿随时被采购人终止并解除服务合同，由本公司自行承担一切相应的损失。</w:t>
      </w:r>
    </w:p>
    <w:p w14:paraId="6E21B186">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3﹒我方承诺优于比选项目商务要求的内容如下：</w:t>
      </w:r>
    </w:p>
    <w:p w14:paraId="1DA44C3B">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p>
    <w:p w14:paraId="430D324C">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w:t>
      </w:r>
    </w:p>
    <w:p w14:paraId="6C4F76A8">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w:t>
      </w:r>
    </w:p>
    <w:p w14:paraId="3F87FE32">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（如果有，请供应商逐条对照列示。）</w:t>
      </w:r>
    </w:p>
    <w:p w14:paraId="5F2FA50B">
      <w:pPr>
        <w:tabs>
          <w:tab w:val="left" w:pos="6300"/>
        </w:tabs>
        <w:snapToGrid w:val="0"/>
        <w:spacing w:line="500" w:lineRule="exact"/>
        <w:ind w:firstLine="560" w:firstLineChars="0"/>
        <w:rPr>
          <w:rFonts w:ascii="宋体" w:hAnsi="宋体" w:eastAsia="宋体" w:cs="宋体"/>
          <w:color w:val="auto"/>
          <w:sz w:val="24"/>
          <w:highlight w:val="none"/>
        </w:rPr>
      </w:pPr>
    </w:p>
    <w:p w14:paraId="41DB91E1">
      <w:pPr>
        <w:tabs>
          <w:tab w:val="left" w:pos="6300"/>
        </w:tabs>
        <w:snapToGrid w:val="0"/>
        <w:spacing w:line="500" w:lineRule="exact"/>
        <w:ind w:firstLine="56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法定代表人（或代理人）签名或盖章：</w:t>
      </w:r>
    </w:p>
    <w:p w14:paraId="1F783A62">
      <w:pPr>
        <w:tabs>
          <w:tab w:val="left" w:pos="6300"/>
        </w:tabs>
        <w:snapToGrid w:val="0"/>
        <w:spacing w:line="500" w:lineRule="exact"/>
        <w:ind w:firstLine="56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法定代表人（或代理人）联系电话：</w:t>
      </w:r>
    </w:p>
    <w:p w14:paraId="62648CAE">
      <w:pPr>
        <w:tabs>
          <w:tab w:val="left" w:pos="6300"/>
        </w:tabs>
        <w:snapToGrid w:val="0"/>
        <w:spacing w:line="500" w:lineRule="exact"/>
        <w:ind w:firstLine="560" w:firstLineChars="0"/>
        <w:jc w:val="right"/>
        <w:rPr>
          <w:rFonts w:ascii="宋体" w:hAnsi="宋体" w:eastAsia="宋体" w:cs="宋体"/>
          <w:color w:val="auto"/>
          <w:sz w:val="24"/>
          <w:highlight w:val="none"/>
        </w:rPr>
      </w:pPr>
    </w:p>
    <w:p w14:paraId="4675C933">
      <w:pPr>
        <w:tabs>
          <w:tab w:val="left" w:pos="6300"/>
        </w:tabs>
        <w:snapToGrid w:val="0"/>
        <w:spacing w:line="50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2FB48923">
      <w:pPr>
        <w:tabs>
          <w:tab w:val="left" w:pos="6300"/>
        </w:tabs>
        <w:snapToGrid w:val="0"/>
        <w:spacing w:line="50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年月日</w:t>
      </w:r>
    </w:p>
    <w:p w14:paraId="3BFDD4DD">
      <w:pPr>
        <w:pStyle w:val="8"/>
        <w:ind w:firstLine="0" w:firstLineChars="0"/>
        <w:rPr>
          <w:rFonts w:ascii="宋体" w:hAnsi="宋体" w:eastAsia="宋体" w:cs="宋体"/>
          <w:color w:val="auto"/>
          <w:sz w:val="24"/>
          <w:highlight w:val="none"/>
        </w:rPr>
      </w:pPr>
    </w:p>
    <w:p w14:paraId="13DBF143">
      <w:pPr>
        <w:pStyle w:val="8"/>
        <w:ind w:firstLine="0" w:firstLineChars="0"/>
        <w:rPr>
          <w:rFonts w:ascii="宋体" w:hAnsi="宋体" w:eastAsia="宋体" w:cs="宋体"/>
          <w:color w:val="auto"/>
          <w:sz w:val="24"/>
          <w:highlight w:val="none"/>
        </w:rPr>
      </w:pPr>
    </w:p>
    <w:p w14:paraId="77C35C0C">
      <w:pPr>
        <w:pStyle w:val="9"/>
        <w:ind w:firstLine="280"/>
        <w:rPr>
          <w:color w:val="auto"/>
          <w:highlight w:val="none"/>
        </w:rPr>
      </w:pPr>
    </w:p>
    <w:p w14:paraId="1CAF27DB">
      <w:pPr>
        <w:widowControl/>
        <w:numPr>
          <w:ilvl w:val="0"/>
          <w:numId w:val="3"/>
        </w:numPr>
        <w:ind w:firstLine="0" w:firstLineChars="0"/>
        <w:jc w:val="left"/>
        <w:outlineLvl w:val="0"/>
        <w:rPr>
          <w:rFonts w:ascii="Times New Roman" w:hAnsi="Times New Roman" w:eastAsia="仿宋"/>
          <w:color w:val="auto"/>
          <w:szCs w:val="28"/>
          <w:highlight w:val="none"/>
        </w:rPr>
      </w:pPr>
      <w:bookmarkStart w:id="232" w:name="_Toc16623"/>
      <w:bookmarkStart w:id="233" w:name="_Toc22495"/>
      <w:bookmarkStart w:id="234" w:name="_Toc31670"/>
      <w:bookmarkStart w:id="235" w:name="_Toc17051"/>
      <w:bookmarkStart w:id="236" w:name="_Toc6407"/>
      <w:bookmarkStart w:id="237" w:name="_Toc105081946"/>
      <w:bookmarkStart w:id="238" w:name="_Toc97027592"/>
      <w:bookmarkStart w:id="239" w:name="_Toc194572030"/>
      <w:r>
        <w:rPr>
          <w:rFonts w:ascii="Times New Roman" w:hAnsi="Times New Roman" w:eastAsia="仿宋"/>
          <w:color w:val="auto"/>
          <w:szCs w:val="28"/>
          <w:highlight w:val="none"/>
        </w:rPr>
        <w:t>拟派服务团队人员名单</w:t>
      </w:r>
      <w:bookmarkEnd w:id="232"/>
      <w:bookmarkEnd w:id="233"/>
    </w:p>
    <w:p w14:paraId="0698BAD4">
      <w:pPr>
        <w:ind w:firstLine="560"/>
        <w:rPr>
          <w:highlight w:val="none"/>
        </w:rPr>
      </w:pPr>
    </w:p>
    <w:p w14:paraId="2C440852">
      <w:pPr>
        <w:autoSpaceDE w:val="0"/>
        <w:autoSpaceDN w:val="0"/>
        <w:adjustRightInd w:val="0"/>
        <w:snapToGrid w:val="0"/>
        <w:spacing w:line="400" w:lineRule="exact"/>
        <w:ind w:firstLine="0" w:firstLineChars="0"/>
        <w:jc w:val="center"/>
        <w:rPr>
          <w:rFonts w:ascii="Times New Roman" w:hAnsi="Times New Roman"/>
          <w:b/>
          <w:color w:val="auto"/>
          <w:kern w:val="0"/>
          <w:szCs w:val="28"/>
          <w:highlight w:val="none"/>
        </w:rPr>
      </w:pPr>
      <w:r>
        <w:rPr>
          <w:rFonts w:ascii="Times New Roman" w:hAnsi="Times New Roman"/>
          <w:b/>
          <w:color w:val="auto"/>
          <w:kern w:val="0"/>
          <w:szCs w:val="28"/>
          <w:highlight w:val="none"/>
        </w:rPr>
        <w:t>拟派服务团队人员名单</w:t>
      </w:r>
    </w:p>
    <w:tbl>
      <w:tblPr>
        <w:tblStyle w:val="17"/>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838"/>
        <w:gridCol w:w="1275"/>
        <w:gridCol w:w="1134"/>
        <w:gridCol w:w="2170"/>
        <w:gridCol w:w="1075"/>
      </w:tblGrid>
      <w:tr w14:paraId="66FB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18" w:type="dxa"/>
            <w:vAlign w:val="center"/>
          </w:tcPr>
          <w:p w14:paraId="48FFF93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bookmarkStart w:id="240" w:name="_Toc21301"/>
            <w:bookmarkStart w:id="241" w:name="_Toc871"/>
            <w:r>
              <w:rPr>
                <w:rFonts w:ascii="Times New Roman" w:hAnsi="Times New Roman" w:eastAsia="仿宋"/>
                <w:color w:val="auto"/>
                <w:sz w:val="21"/>
                <w:szCs w:val="21"/>
                <w:highlight w:val="none"/>
              </w:rPr>
              <w:t>序号</w:t>
            </w:r>
            <w:bookmarkEnd w:id="240"/>
            <w:bookmarkEnd w:id="241"/>
          </w:p>
        </w:tc>
        <w:tc>
          <w:tcPr>
            <w:tcW w:w="1838" w:type="dxa"/>
            <w:vAlign w:val="center"/>
          </w:tcPr>
          <w:p w14:paraId="1F07D0FA">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bookmarkStart w:id="242" w:name="_Toc1881"/>
            <w:bookmarkStart w:id="243" w:name="_Toc975"/>
            <w:r>
              <w:rPr>
                <w:rFonts w:ascii="Times New Roman" w:hAnsi="Times New Roman" w:eastAsia="仿宋"/>
                <w:color w:val="auto"/>
                <w:sz w:val="21"/>
                <w:szCs w:val="21"/>
                <w:highlight w:val="none"/>
              </w:rPr>
              <w:t>姓名</w:t>
            </w:r>
            <w:bookmarkEnd w:id="242"/>
            <w:bookmarkEnd w:id="243"/>
          </w:p>
        </w:tc>
        <w:tc>
          <w:tcPr>
            <w:tcW w:w="1275" w:type="dxa"/>
            <w:vAlign w:val="center"/>
          </w:tcPr>
          <w:p w14:paraId="09E8CA2F">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bookmarkStart w:id="244" w:name="_Toc14559"/>
            <w:bookmarkStart w:id="245" w:name="_Toc28453"/>
            <w:r>
              <w:rPr>
                <w:rFonts w:ascii="Times New Roman" w:hAnsi="Times New Roman" w:eastAsia="仿宋"/>
                <w:color w:val="auto"/>
                <w:sz w:val="21"/>
                <w:szCs w:val="21"/>
                <w:highlight w:val="none"/>
              </w:rPr>
              <w:t>年龄</w:t>
            </w:r>
            <w:bookmarkEnd w:id="244"/>
            <w:bookmarkEnd w:id="245"/>
          </w:p>
        </w:tc>
        <w:tc>
          <w:tcPr>
            <w:tcW w:w="1134" w:type="dxa"/>
            <w:vAlign w:val="center"/>
          </w:tcPr>
          <w:p w14:paraId="42A12BDD">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bookmarkStart w:id="246" w:name="_Toc7111"/>
            <w:bookmarkStart w:id="247" w:name="_Toc30985"/>
            <w:r>
              <w:rPr>
                <w:rFonts w:ascii="Times New Roman" w:hAnsi="Times New Roman" w:eastAsia="仿宋"/>
                <w:color w:val="auto"/>
                <w:sz w:val="21"/>
                <w:szCs w:val="21"/>
                <w:highlight w:val="none"/>
              </w:rPr>
              <w:t>学历</w:t>
            </w:r>
            <w:bookmarkEnd w:id="246"/>
            <w:bookmarkEnd w:id="247"/>
          </w:p>
        </w:tc>
        <w:tc>
          <w:tcPr>
            <w:tcW w:w="2170" w:type="dxa"/>
            <w:vAlign w:val="center"/>
          </w:tcPr>
          <w:p w14:paraId="3C1C9F5E">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bookmarkStart w:id="248" w:name="_Toc27900"/>
            <w:bookmarkStart w:id="249" w:name="_Toc16043"/>
            <w:r>
              <w:rPr>
                <w:rFonts w:ascii="Times New Roman" w:hAnsi="Times New Roman" w:eastAsia="仿宋"/>
                <w:color w:val="auto"/>
                <w:sz w:val="21"/>
                <w:szCs w:val="21"/>
                <w:highlight w:val="none"/>
              </w:rPr>
              <w:t>项目岗位</w:t>
            </w:r>
            <w:bookmarkEnd w:id="248"/>
            <w:bookmarkEnd w:id="249"/>
          </w:p>
        </w:tc>
        <w:tc>
          <w:tcPr>
            <w:tcW w:w="1075" w:type="dxa"/>
            <w:vAlign w:val="center"/>
          </w:tcPr>
          <w:p w14:paraId="311AAA1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bookmarkStart w:id="250" w:name="_Toc10877"/>
            <w:bookmarkStart w:id="251" w:name="_Toc11994"/>
            <w:r>
              <w:rPr>
                <w:rFonts w:ascii="Times New Roman" w:hAnsi="Times New Roman" w:eastAsia="仿宋"/>
                <w:color w:val="auto"/>
                <w:sz w:val="21"/>
                <w:szCs w:val="21"/>
                <w:highlight w:val="none"/>
              </w:rPr>
              <w:t>备注</w:t>
            </w:r>
            <w:bookmarkEnd w:id="250"/>
            <w:bookmarkEnd w:id="251"/>
          </w:p>
        </w:tc>
      </w:tr>
      <w:tr w14:paraId="2543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52F7A587">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01961A6B">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76801D56">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2BF25B5D">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0BA7CC31">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3F511944">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2E11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1A15751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4438E21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55459EA9">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6AE4963A">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5E64314B">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44C3FEC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4C85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675C2139">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54736837">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6A71DE05">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2D5F5011">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3C8F656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643125D5">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4ECE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324C1CAA">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2CF4800C">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3AE1217B">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69CE2C58">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258822CF">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72AC15D2">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2C67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50594F1D">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0D3CE980">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74D67E6E">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63BD453C">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6F15F1A0">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37E3775E">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1759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0D7E76DC">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47A298D5">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43CE0516">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51A5F170">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662C245C">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467BD2FC">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3B4A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6F05F306">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524912EE">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58682813">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2ED64528">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6D27EAB7">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2F6470DB">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67F5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2EF1A61B">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077E32E7">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0F737A46">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5C26854D">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4CD4CBD0">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1A9BD989">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2EDC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8" w:type="dxa"/>
            <w:vAlign w:val="center"/>
          </w:tcPr>
          <w:p w14:paraId="3F8B71EA">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639DE2CA">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3B1255D8">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49741FFA">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06FB91DD">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7C178F2B">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r w14:paraId="29AB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418" w:type="dxa"/>
            <w:vAlign w:val="center"/>
          </w:tcPr>
          <w:p w14:paraId="5596A11C">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838" w:type="dxa"/>
            <w:vAlign w:val="center"/>
          </w:tcPr>
          <w:p w14:paraId="0EAF89B0">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275" w:type="dxa"/>
            <w:vAlign w:val="center"/>
          </w:tcPr>
          <w:p w14:paraId="7F41E898">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134" w:type="dxa"/>
            <w:vAlign w:val="center"/>
          </w:tcPr>
          <w:p w14:paraId="1E85103F">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2170" w:type="dxa"/>
            <w:vAlign w:val="center"/>
          </w:tcPr>
          <w:p w14:paraId="71CD12A1">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c>
          <w:tcPr>
            <w:tcW w:w="1075" w:type="dxa"/>
            <w:vAlign w:val="center"/>
          </w:tcPr>
          <w:p w14:paraId="6350B135">
            <w:pPr>
              <w:tabs>
                <w:tab w:val="left" w:pos="6300"/>
              </w:tabs>
              <w:snapToGrid w:val="0"/>
              <w:spacing w:line="500" w:lineRule="exact"/>
              <w:ind w:firstLine="0" w:firstLineChars="0"/>
              <w:jc w:val="center"/>
              <w:outlineLvl w:val="0"/>
              <w:rPr>
                <w:rFonts w:ascii="Times New Roman" w:hAnsi="Times New Roman" w:eastAsia="仿宋"/>
                <w:color w:val="auto"/>
                <w:sz w:val="21"/>
                <w:szCs w:val="21"/>
                <w:highlight w:val="none"/>
              </w:rPr>
            </w:pPr>
          </w:p>
        </w:tc>
      </w:tr>
    </w:tbl>
    <w:p w14:paraId="2731FB14">
      <w:pPr>
        <w:pStyle w:val="8"/>
        <w:spacing w:after="0" w:line="400" w:lineRule="exact"/>
        <w:ind w:firstLine="0" w:firstLineChars="0"/>
        <w:rPr>
          <w:rFonts w:ascii="Times New Roman" w:hAnsi="Times New Roman"/>
          <w:color w:val="auto"/>
          <w:sz w:val="24"/>
          <w:szCs w:val="22"/>
          <w:highlight w:val="none"/>
        </w:rPr>
      </w:pPr>
    </w:p>
    <w:p w14:paraId="37BEB1B6">
      <w:pPr>
        <w:pStyle w:val="8"/>
        <w:spacing w:after="0" w:line="400" w:lineRule="exact"/>
        <w:ind w:firstLine="0" w:firstLineChars="0"/>
        <w:rPr>
          <w:rFonts w:ascii="Times New Roman" w:hAnsi="Times New Roman" w:eastAsia="方正黑体_GBK"/>
          <w:color w:val="auto"/>
          <w:sz w:val="32"/>
          <w:szCs w:val="32"/>
          <w:highlight w:val="none"/>
        </w:rPr>
      </w:pPr>
      <w:r>
        <w:rPr>
          <w:rFonts w:ascii="Times New Roman" w:hAnsi="Times New Roman"/>
          <w:b/>
          <w:color w:val="auto"/>
          <w:sz w:val="24"/>
          <w:szCs w:val="22"/>
          <w:highlight w:val="none"/>
        </w:rPr>
        <w:t>注：</w:t>
      </w:r>
      <w:r>
        <w:rPr>
          <w:rFonts w:ascii="Times New Roman" w:hAnsi="Times New Roman" w:eastAsia="仿宋"/>
          <w:color w:val="auto"/>
          <w:sz w:val="21"/>
          <w:szCs w:val="21"/>
          <w:highlight w:val="none"/>
        </w:rPr>
        <w:t>项目团队人员须为参选人本单位员工。</w:t>
      </w:r>
      <w:r>
        <w:rPr>
          <w:rFonts w:hint="eastAsia" w:ascii="Times New Roman" w:hAnsi="Times New Roman" w:eastAsia="仿宋"/>
          <w:color w:val="auto"/>
          <w:sz w:val="21"/>
          <w:szCs w:val="21"/>
          <w:highlight w:val="none"/>
        </w:rPr>
        <w:t>提供上述人员参选人为其缴纳的连续6个月（2025年8月至2026年1月）社会保险证明材料复印件或扫描件加盖参选人公章。</w:t>
      </w:r>
    </w:p>
    <w:p w14:paraId="29B46278">
      <w:pPr>
        <w:snapToGrid w:val="0"/>
        <w:spacing w:line="600" w:lineRule="exact"/>
        <w:ind w:firstLine="0" w:firstLineChars="0"/>
        <w:jc w:val="left"/>
        <w:rPr>
          <w:rFonts w:ascii="Times New Roman" w:hAnsi="Times New Roman" w:eastAsia="方正黑体_GBK"/>
          <w:color w:val="auto"/>
          <w:sz w:val="32"/>
          <w:szCs w:val="32"/>
          <w:highlight w:val="none"/>
        </w:rPr>
      </w:pPr>
    </w:p>
    <w:p w14:paraId="083256C9">
      <w:pPr>
        <w:snapToGrid w:val="0"/>
        <w:spacing w:line="600" w:lineRule="exact"/>
        <w:ind w:firstLine="0" w:firstLineChars="0"/>
        <w:jc w:val="left"/>
        <w:rPr>
          <w:rFonts w:ascii="Times New Roman" w:hAnsi="Times New Roman" w:eastAsia="方正黑体_GBK"/>
          <w:color w:val="auto"/>
          <w:sz w:val="32"/>
          <w:szCs w:val="32"/>
          <w:highlight w:val="none"/>
        </w:rPr>
      </w:pPr>
    </w:p>
    <w:p w14:paraId="0E38118C">
      <w:pPr>
        <w:pStyle w:val="8"/>
        <w:ind w:firstLine="560"/>
        <w:rPr>
          <w:rFonts w:ascii="Times New Roman" w:hAnsi="Times New Roman"/>
          <w:color w:val="auto"/>
          <w:highlight w:val="none"/>
        </w:rPr>
      </w:pPr>
    </w:p>
    <w:p w14:paraId="1805E800">
      <w:pPr>
        <w:pStyle w:val="8"/>
        <w:ind w:firstLine="640"/>
        <w:rPr>
          <w:rFonts w:ascii="Times New Roman" w:hAnsi="Times New Roman" w:eastAsia="方正黑体_GBK"/>
          <w:color w:val="auto"/>
          <w:sz w:val="32"/>
          <w:szCs w:val="32"/>
          <w:highlight w:val="none"/>
        </w:rPr>
      </w:pPr>
    </w:p>
    <w:p w14:paraId="35A20E0F">
      <w:pPr>
        <w:pStyle w:val="9"/>
        <w:ind w:firstLine="280"/>
        <w:rPr>
          <w:highlight w:val="none"/>
        </w:rPr>
      </w:pPr>
    </w:p>
    <w:p w14:paraId="250228EC">
      <w:pPr>
        <w:widowControl/>
        <w:ind w:firstLine="0" w:firstLineChars="0"/>
        <w:jc w:val="left"/>
        <w:outlineLvl w:val="0"/>
        <w:rPr>
          <w:rFonts w:ascii="Times New Roman" w:hAnsi="Times New Roman" w:eastAsia="仿宋"/>
          <w:color w:val="auto"/>
          <w:sz w:val="32"/>
          <w:szCs w:val="32"/>
          <w:highlight w:val="none"/>
        </w:rPr>
      </w:pPr>
      <w:bookmarkStart w:id="252" w:name="_Toc31565"/>
      <w:bookmarkStart w:id="253" w:name="_Toc24763"/>
      <w:r>
        <w:rPr>
          <w:rFonts w:ascii="Times New Roman" w:hAnsi="Times New Roman" w:eastAsia="仿宋"/>
          <w:color w:val="auto"/>
          <w:szCs w:val="28"/>
          <w:highlight w:val="none"/>
        </w:rPr>
        <w:t>4.</w:t>
      </w:r>
      <w:bookmarkEnd w:id="234"/>
      <w:r>
        <w:rPr>
          <w:rFonts w:ascii="Times New Roman" w:hAnsi="Times New Roman" w:eastAsia="仿宋"/>
          <w:color w:val="auto"/>
          <w:szCs w:val="22"/>
          <w:highlight w:val="none"/>
        </w:rPr>
        <w:t xml:space="preserve"> </w:t>
      </w:r>
      <w:bookmarkEnd w:id="235"/>
      <w:bookmarkEnd w:id="236"/>
      <w:bookmarkEnd w:id="237"/>
      <w:bookmarkEnd w:id="238"/>
      <w:r>
        <w:rPr>
          <w:rFonts w:ascii="Times New Roman" w:hAnsi="Times New Roman" w:eastAsia="仿宋"/>
          <w:color w:val="auto"/>
          <w:szCs w:val="28"/>
          <w:highlight w:val="none"/>
        </w:rPr>
        <w:t>其他商务部分资料</w:t>
      </w:r>
      <w:bookmarkEnd w:id="239"/>
      <w:bookmarkEnd w:id="252"/>
      <w:bookmarkEnd w:id="253"/>
    </w:p>
    <w:p w14:paraId="5EE8A68C">
      <w:pPr>
        <w:snapToGrid w:val="0"/>
        <w:spacing w:line="600" w:lineRule="exact"/>
        <w:ind w:firstLine="0" w:firstLineChars="0"/>
        <w:jc w:val="left"/>
        <w:rPr>
          <w:rFonts w:ascii="Times New Roman" w:hAnsi="Times New Roman" w:eastAsia="仿宋"/>
          <w:color w:val="auto"/>
          <w:sz w:val="32"/>
          <w:szCs w:val="32"/>
          <w:highlight w:val="none"/>
        </w:rPr>
      </w:pPr>
    </w:p>
    <w:p w14:paraId="1E4A2745">
      <w:pPr>
        <w:snapToGrid w:val="0"/>
        <w:spacing w:line="600" w:lineRule="exact"/>
        <w:ind w:firstLine="0" w:firstLineChars="0"/>
        <w:jc w:val="left"/>
        <w:rPr>
          <w:rFonts w:ascii="Times New Roman" w:hAnsi="Times New Roman" w:eastAsia="仿宋"/>
          <w:color w:val="auto"/>
          <w:sz w:val="32"/>
          <w:szCs w:val="32"/>
          <w:highlight w:val="none"/>
        </w:rPr>
      </w:pPr>
    </w:p>
    <w:p w14:paraId="1DD156D0">
      <w:pPr>
        <w:snapToGrid w:val="0"/>
        <w:spacing w:line="600" w:lineRule="exact"/>
        <w:ind w:firstLine="0" w:firstLineChars="0"/>
        <w:jc w:val="left"/>
        <w:rPr>
          <w:rFonts w:ascii="Times New Roman" w:hAnsi="Times New Roman" w:eastAsia="仿宋"/>
          <w:color w:val="auto"/>
          <w:sz w:val="32"/>
          <w:szCs w:val="32"/>
          <w:highlight w:val="none"/>
        </w:rPr>
      </w:pPr>
    </w:p>
    <w:p w14:paraId="02FC2DC0">
      <w:pPr>
        <w:snapToGrid w:val="0"/>
        <w:spacing w:line="600" w:lineRule="exact"/>
        <w:ind w:firstLine="0" w:firstLineChars="0"/>
        <w:jc w:val="left"/>
        <w:rPr>
          <w:rFonts w:ascii="Times New Roman" w:hAnsi="Times New Roman" w:eastAsia="仿宋"/>
          <w:color w:val="auto"/>
          <w:sz w:val="32"/>
          <w:szCs w:val="32"/>
          <w:highlight w:val="none"/>
        </w:rPr>
      </w:pPr>
    </w:p>
    <w:p w14:paraId="1F73DD78">
      <w:pPr>
        <w:snapToGrid w:val="0"/>
        <w:spacing w:line="600" w:lineRule="exact"/>
        <w:ind w:firstLine="0" w:firstLineChars="0"/>
        <w:jc w:val="left"/>
        <w:rPr>
          <w:rFonts w:ascii="Times New Roman" w:hAnsi="Times New Roman" w:eastAsia="仿宋"/>
          <w:color w:val="auto"/>
          <w:sz w:val="32"/>
          <w:szCs w:val="32"/>
          <w:highlight w:val="none"/>
        </w:rPr>
      </w:pPr>
    </w:p>
    <w:p w14:paraId="3B03F959">
      <w:pPr>
        <w:snapToGrid w:val="0"/>
        <w:spacing w:line="600" w:lineRule="exact"/>
        <w:ind w:firstLine="0" w:firstLineChars="0"/>
        <w:jc w:val="left"/>
        <w:rPr>
          <w:rFonts w:ascii="Times New Roman" w:hAnsi="Times New Roman" w:eastAsia="仿宋"/>
          <w:color w:val="auto"/>
          <w:sz w:val="32"/>
          <w:szCs w:val="32"/>
          <w:highlight w:val="none"/>
        </w:rPr>
      </w:pPr>
    </w:p>
    <w:p w14:paraId="22819104">
      <w:pPr>
        <w:snapToGrid w:val="0"/>
        <w:spacing w:line="600" w:lineRule="exact"/>
        <w:ind w:firstLine="0" w:firstLineChars="0"/>
        <w:jc w:val="left"/>
        <w:rPr>
          <w:rFonts w:ascii="Times New Roman" w:hAnsi="Times New Roman" w:eastAsia="仿宋"/>
          <w:color w:val="auto"/>
          <w:sz w:val="32"/>
          <w:szCs w:val="32"/>
          <w:highlight w:val="none"/>
        </w:rPr>
      </w:pPr>
    </w:p>
    <w:p w14:paraId="5FA51D71">
      <w:pPr>
        <w:snapToGrid w:val="0"/>
        <w:spacing w:line="600" w:lineRule="exact"/>
        <w:ind w:firstLine="0" w:firstLineChars="0"/>
        <w:jc w:val="left"/>
        <w:rPr>
          <w:rFonts w:ascii="Times New Roman" w:hAnsi="Times New Roman" w:eastAsia="仿宋"/>
          <w:color w:val="auto"/>
          <w:sz w:val="32"/>
          <w:szCs w:val="32"/>
          <w:highlight w:val="none"/>
        </w:rPr>
      </w:pPr>
    </w:p>
    <w:p w14:paraId="5C6773D5">
      <w:pPr>
        <w:snapToGrid w:val="0"/>
        <w:spacing w:line="600" w:lineRule="exact"/>
        <w:ind w:firstLine="0" w:firstLineChars="0"/>
        <w:jc w:val="left"/>
        <w:rPr>
          <w:rFonts w:ascii="Times New Roman" w:hAnsi="Times New Roman" w:eastAsia="仿宋"/>
          <w:color w:val="auto"/>
          <w:sz w:val="32"/>
          <w:szCs w:val="32"/>
          <w:highlight w:val="none"/>
        </w:rPr>
      </w:pPr>
    </w:p>
    <w:p w14:paraId="07D38EEB">
      <w:pPr>
        <w:snapToGrid w:val="0"/>
        <w:spacing w:line="600" w:lineRule="exact"/>
        <w:ind w:firstLine="0" w:firstLineChars="0"/>
        <w:jc w:val="left"/>
        <w:rPr>
          <w:rFonts w:ascii="Times New Roman" w:hAnsi="Times New Roman" w:eastAsia="仿宋"/>
          <w:color w:val="auto"/>
          <w:sz w:val="32"/>
          <w:szCs w:val="32"/>
          <w:highlight w:val="none"/>
        </w:rPr>
      </w:pPr>
    </w:p>
    <w:p w14:paraId="5A1E8D5C">
      <w:pPr>
        <w:snapToGrid w:val="0"/>
        <w:spacing w:line="600" w:lineRule="exact"/>
        <w:ind w:firstLine="0" w:firstLineChars="0"/>
        <w:jc w:val="left"/>
        <w:rPr>
          <w:rFonts w:ascii="Times New Roman" w:hAnsi="Times New Roman" w:eastAsia="仿宋"/>
          <w:color w:val="auto"/>
          <w:sz w:val="32"/>
          <w:szCs w:val="32"/>
          <w:highlight w:val="none"/>
        </w:rPr>
      </w:pPr>
    </w:p>
    <w:p w14:paraId="6121E0E8">
      <w:pPr>
        <w:snapToGrid w:val="0"/>
        <w:spacing w:line="600" w:lineRule="exact"/>
        <w:ind w:firstLine="0" w:firstLineChars="0"/>
        <w:jc w:val="left"/>
        <w:rPr>
          <w:rFonts w:ascii="Times New Roman" w:hAnsi="Times New Roman" w:eastAsia="仿宋"/>
          <w:color w:val="auto"/>
          <w:sz w:val="32"/>
          <w:szCs w:val="32"/>
          <w:highlight w:val="none"/>
        </w:rPr>
      </w:pPr>
    </w:p>
    <w:p w14:paraId="6BBDFFFE">
      <w:pPr>
        <w:snapToGrid w:val="0"/>
        <w:spacing w:line="600" w:lineRule="exact"/>
        <w:ind w:firstLine="0" w:firstLineChars="0"/>
        <w:jc w:val="left"/>
        <w:rPr>
          <w:rFonts w:ascii="Times New Roman" w:hAnsi="Times New Roman" w:eastAsia="仿宋"/>
          <w:color w:val="auto"/>
          <w:sz w:val="32"/>
          <w:szCs w:val="32"/>
          <w:highlight w:val="none"/>
        </w:rPr>
      </w:pPr>
    </w:p>
    <w:p w14:paraId="731299B3">
      <w:pPr>
        <w:snapToGrid w:val="0"/>
        <w:spacing w:line="600" w:lineRule="exact"/>
        <w:ind w:firstLine="0" w:firstLineChars="0"/>
        <w:jc w:val="left"/>
        <w:rPr>
          <w:rFonts w:ascii="Times New Roman" w:hAnsi="Times New Roman" w:eastAsia="仿宋"/>
          <w:color w:val="auto"/>
          <w:sz w:val="32"/>
          <w:szCs w:val="32"/>
          <w:highlight w:val="none"/>
        </w:rPr>
      </w:pPr>
    </w:p>
    <w:p w14:paraId="2B9F4D8F">
      <w:pPr>
        <w:snapToGrid w:val="0"/>
        <w:spacing w:line="600" w:lineRule="exact"/>
        <w:ind w:firstLine="0" w:firstLineChars="0"/>
        <w:jc w:val="left"/>
        <w:rPr>
          <w:rFonts w:ascii="Times New Roman" w:hAnsi="Times New Roman" w:eastAsia="仿宋"/>
          <w:color w:val="auto"/>
          <w:sz w:val="32"/>
          <w:szCs w:val="32"/>
          <w:highlight w:val="none"/>
        </w:rPr>
      </w:pPr>
    </w:p>
    <w:p w14:paraId="196F1F39">
      <w:pPr>
        <w:snapToGrid w:val="0"/>
        <w:spacing w:line="600" w:lineRule="exact"/>
        <w:ind w:firstLine="0" w:firstLineChars="0"/>
        <w:jc w:val="left"/>
        <w:rPr>
          <w:rFonts w:ascii="Times New Roman" w:hAnsi="Times New Roman" w:eastAsia="仿宋"/>
          <w:color w:val="auto"/>
          <w:sz w:val="32"/>
          <w:szCs w:val="32"/>
          <w:highlight w:val="none"/>
        </w:rPr>
      </w:pPr>
    </w:p>
    <w:p w14:paraId="570D90FE">
      <w:pPr>
        <w:snapToGrid w:val="0"/>
        <w:spacing w:line="600" w:lineRule="exact"/>
        <w:ind w:firstLine="0" w:firstLineChars="0"/>
        <w:jc w:val="left"/>
        <w:rPr>
          <w:rFonts w:ascii="Times New Roman" w:hAnsi="Times New Roman" w:eastAsia="仿宋"/>
          <w:color w:val="auto"/>
          <w:sz w:val="32"/>
          <w:szCs w:val="32"/>
          <w:highlight w:val="none"/>
        </w:rPr>
      </w:pPr>
    </w:p>
    <w:p w14:paraId="3E803E75">
      <w:pPr>
        <w:snapToGrid w:val="0"/>
        <w:spacing w:line="600" w:lineRule="exact"/>
        <w:ind w:firstLine="0" w:firstLineChars="0"/>
        <w:jc w:val="left"/>
        <w:rPr>
          <w:rFonts w:ascii="Times New Roman" w:hAnsi="Times New Roman" w:eastAsia="仿宋"/>
          <w:color w:val="auto"/>
          <w:sz w:val="32"/>
          <w:szCs w:val="32"/>
          <w:highlight w:val="none"/>
        </w:rPr>
      </w:pPr>
    </w:p>
    <w:p w14:paraId="58E8F4B4">
      <w:pPr>
        <w:snapToGrid w:val="0"/>
        <w:spacing w:line="600" w:lineRule="exact"/>
        <w:ind w:firstLine="0" w:firstLineChars="0"/>
        <w:jc w:val="left"/>
        <w:rPr>
          <w:rFonts w:ascii="Times New Roman" w:hAnsi="Times New Roman" w:eastAsia="仿宋"/>
          <w:color w:val="auto"/>
          <w:sz w:val="32"/>
          <w:szCs w:val="32"/>
          <w:highlight w:val="none"/>
        </w:rPr>
      </w:pPr>
    </w:p>
    <w:p w14:paraId="7C00944C">
      <w:pPr>
        <w:snapToGrid w:val="0"/>
        <w:spacing w:line="600" w:lineRule="exact"/>
        <w:ind w:firstLine="0" w:firstLineChars="0"/>
        <w:jc w:val="left"/>
        <w:rPr>
          <w:rFonts w:ascii="Times New Roman" w:hAnsi="Times New Roman" w:eastAsia="仿宋"/>
          <w:color w:val="auto"/>
          <w:sz w:val="32"/>
          <w:szCs w:val="32"/>
          <w:highlight w:val="none"/>
        </w:rPr>
      </w:pPr>
    </w:p>
    <w:p w14:paraId="3D4631ED">
      <w:pPr>
        <w:widowControl/>
        <w:ind w:firstLine="0" w:firstLineChars="0"/>
        <w:jc w:val="left"/>
        <w:rPr>
          <w:rFonts w:ascii="Times New Roman" w:hAnsi="Times New Roman" w:eastAsia="仿宋"/>
          <w:b/>
          <w:color w:val="auto"/>
          <w:highlight w:val="none"/>
        </w:rPr>
      </w:pPr>
      <w:r>
        <w:rPr>
          <w:rFonts w:ascii="Times New Roman" w:hAnsi="Times New Roman" w:eastAsia="仿宋"/>
          <w:b/>
          <w:color w:val="auto"/>
          <w:szCs w:val="28"/>
          <w:highlight w:val="none"/>
        </w:rPr>
        <w:t>四、</w:t>
      </w:r>
      <w:r>
        <w:rPr>
          <w:rFonts w:ascii="Times New Roman" w:hAnsi="Times New Roman" w:eastAsia="仿宋"/>
          <w:b/>
          <w:color w:val="auto"/>
          <w:highlight w:val="none"/>
        </w:rPr>
        <w:t>其他与项目有关的资料（自附）</w:t>
      </w:r>
    </w:p>
    <w:p w14:paraId="48F636ED">
      <w:pPr>
        <w:snapToGrid w:val="0"/>
        <w:spacing w:line="600" w:lineRule="exact"/>
        <w:ind w:firstLine="0" w:firstLineChars="0"/>
        <w:jc w:val="left"/>
        <w:rPr>
          <w:rFonts w:ascii="Times New Roman" w:hAnsi="Times New Roman" w:eastAsia="仿宋"/>
          <w:color w:val="auto"/>
          <w:sz w:val="32"/>
          <w:szCs w:val="32"/>
          <w:highlight w:val="none"/>
        </w:rPr>
      </w:pPr>
    </w:p>
    <w:p w14:paraId="28A5F62B">
      <w:pPr>
        <w:ind w:left="560" w:firstLine="0" w:firstLineChars="0"/>
        <w:rPr>
          <w:rFonts w:ascii="Times New Roman" w:hAnsi="Times New Roman" w:eastAsia="仿宋"/>
          <w:color w:val="auto"/>
          <w:highlight w:val="none"/>
        </w:rPr>
      </w:pPr>
    </w:p>
    <w:p w14:paraId="01E1A1D2">
      <w:pPr>
        <w:ind w:left="560" w:firstLine="0" w:firstLineChars="0"/>
        <w:rPr>
          <w:rFonts w:ascii="Times New Roman" w:hAnsi="Times New Roman" w:eastAsia="仿宋"/>
          <w:color w:val="auto"/>
          <w:highlight w:val="none"/>
        </w:rPr>
      </w:pPr>
    </w:p>
    <w:p w14:paraId="4809B2BB">
      <w:pPr>
        <w:ind w:left="560" w:firstLine="0" w:firstLineChars="0"/>
        <w:rPr>
          <w:rFonts w:ascii="Times New Roman" w:hAnsi="Times New Roman" w:eastAsia="仿宋"/>
          <w:color w:val="auto"/>
          <w:highlight w:val="none"/>
        </w:rPr>
      </w:pPr>
    </w:p>
    <w:p w14:paraId="371A87AE">
      <w:pPr>
        <w:ind w:left="560" w:firstLine="0" w:firstLineChars="0"/>
        <w:rPr>
          <w:rFonts w:ascii="Times New Roman" w:hAnsi="Times New Roman" w:eastAsia="仿宋"/>
          <w:color w:val="auto"/>
          <w:highlight w:val="none"/>
        </w:rPr>
      </w:pPr>
    </w:p>
    <w:p w14:paraId="0FD3DD3B">
      <w:pPr>
        <w:ind w:left="560" w:firstLine="0" w:firstLineChars="0"/>
        <w:rPr>
          <w:rFonts w:ascii="Times New Roman" w:hAnsi="Times New Roman" w:eastAsia="仿宋"/>
          <w:color w:val="auto"/>
          <w:highlight w:val="none"/>
        </w:rPr>
      </w:pPr>
    </w:p>
    <w:p w14:paraId="4DDACAB1">
      <w:pPr>
        <w:ind w:left="560" w:firstLine="0" w:firstLineChars="0"/>
        <w:rPr>
          <w:rFonts w:ascii="Times New Roman" w:hAnsi="Times New Roman" w:eastAsia="仿宋"/>
          <w:color w:val="auto"/>
          <w:highlight w:val="none"/>
        </w:rPr>
      </w:pPr>
    </w:p>
    <w:p w14:paraId="5D9ED339">
      <w:pPr>
        <w:ind w:left="560" w:firstLine="0" w:firstLineChars="0"/>
        <w:rPr>
          <w:rFonts w:ascii="Times New Roman" w:hAnsi="Times New Roman" w:eastAsia="仿宋"/>
          <w:color w:val="auto"/>
          <w:highlight w:val="none"/>
        </w:rPr>
      </w:pPr>
    </w:p>
    <w:p w14:paraId="311A1344">
      <w:pPr>
        <w:ind w:left="560" w:firstLine="0" w:firstLineChars="0"/>
        <w:rPr>
          <w:rFonts w:ascii="Times New Roman" w:hAnsi="Times New Roman" w:eastAsia="仿宋"/>
          <w:color w:val="auto"/>
          <w:highlight w:val="none"/>
        </w:rPr>
      </w:pPr>
    </w:p>
    <w:p w14:paraId="5061DE36">
      <w:pPr>
        <w:ind w:left="560" w:firstLine="0" w:firstLineChars="0"/>
        <w:rPr>
          <w:rFonts w:ascii="Times New Roman" w:hAnsi="Times New Roman" w:eastAsia="仿宋"/>
          <w:color w:val="auto"/>
          <w:highlight w:val="none"/>
        </w:rPr>
      </w:pPr>
    </w:p>
    <w:p w14:paraId="55969488">
      <w:pPr>
        <w:ind w:left="560" w:firstLine="0" w:firstLineChars="0"/>
        <w:rPr>
          <w:rFonts w:ascii="Times New Roman" w:hAnsi="Times New Roman" w:eastAsia="仿宋"/>
          <w:color w:val="auto"/>
          <w:highlight w:val="none"/>
        </w:rPr>
      </w:pPr>
    </w:p>
    <w:p w14:paraId="0CCD1A39">
      <w:pPr>
        <w:ind w:left="560" w:firstLine="0" w:firstLineChars="0"/>
        <w:rPr>
          <w:rFonts w:ascii="Times New Roman" w:hAnsi="Times New Roman" w:eastAsia="仿宋"/>
          <w:color w:val="auto"/>
          <w:highlight w:val="none"/>
        </w:rPr>
      </w:pPr>
    </w:p>
    <w:p w14:paraId="3373B701">
      <w:pPr>
        <w:ind w:left="560" w:firstLine="0" w:firstLineChars="0"/>
        <w:rPr>
          <w:rFonts w:ascii="Times New Roman" w:hAnsi="Times New Roman" w:eastAsia="仿宋"/>
          <w:color w:val="auto"/>
          <w:highlight w:val="none"/>
        </w:rPr>
      </w:pPr>
    </w:p>
    <w:p w14:paraId="794060F9">
      <w:pPr>
        <w:ind w:firstLine="562"/>
        <w:rPr>
          <w:rFonts w:ascii="Times New Roman" w:hAnsi="Times New Roman" w:eastAsia="仿宋"/>
          <w:b/>
          <w:color w:val="auto"/>
          <w:highlight w:val="none"/>
        </w:rPr>
      </w:pPr>
    </w:p>
    <w:p w14:paraId="35D538D4">
      <w:pPr>
        <w:ind w:left="560" w:firstLine="0" w:firstLineChars="0"/>
        <w:rPr>
          <w:rFonts w:ascii="Times New Roman" w:hAnsi="Times New Roman" w:eastAsia="仿宋"/>
          <w:color w:val="auto"/>
          <w:highlight w:val="none"/>
        </w:rPr>
      </w:pPr>
    </w:p>
    <w:p w14:paraId="4FF1E6F8">
      <w:pPr>
        <w:ind w:left="560" w:firstLine="0" w:firstLineChars="0"/>
        <w:rPr>
          <w:rFonts w:ascii="Times New Roman" w:hAnsi="Times New Roman" w:eastAsia="仿宋"/>
          <w:color w:val="auto"/>
          <w:highlight w:val="none"/>
        </w:rPr>
      </w:pPr>
    </w:p>
    <w:p w14:paraId="0E369CA7">
      <w:pPr>
        <w:ind w:left="560" w:firstLine="0" w:firstLineChars="0"/>
        <w:rPr>
          <w:rFonts w:ascii="Times New Roman" w:hAnsi="Times New Roman" w:eastAsia="仿宋"/>
          <w:color w:val="auto"/>
          <w:highlight w:val="none"/>
        </w:rPr>
      </w:pPr>
    </w:p>
    <w:p w14:paraId="60245D00">
      <w:pPr>
        <w:ind w:firstLine="560"/>
        <w:rPr>
          <w:rFonts w:ascii="Times New Roman" w:hAnsi="Times New Roman" w:eastAsia="仿宋"/>
          <w:color w:val="auto"/>
          <w:highlight w:val="none"/>
        </w:rPr>
      </w:pPr>
    </w:p>
    <w:p w14:paraId="6E10BAE3">
      <w:pPr>
        <w:ind w:left="560" w:firstLine="0" w:firstLineChars="0"/>
        <w:rPr>
          <w:rFonts w:ascii="Times New Roman" w:hAnsi="Times New Roman" w:eastAsia="仿宋"/>
          <w:color w:val="auto"/>
          <w:highlight w:val="none"/>
        </w:rPr>
      </w:pPr>
    </w:p>
    <w:p w14:paraId="12DE9A44">
      <w:pPr>
        <w:ind w:left="560" w:firstLine="0" w:firstLineChars="0"/>
        <w:rPr>
          <w:rFonts w:ascii="Times New Roman" w:hAnsi="Times New Roman" w:eastAsia="仿宋"/>
          <w:color w:val="auto"/>
          <w:highlight w:val="none"/>
        </w:rPr>
      </w:pPr>
    </w:p>
    <w:p w14:paraId="00D0E9AA">
      <w:pPr>
        <w:widowControl/>
        <w:ind w:firstLine="0" w:firstLineChars="0"/>
        <w:jc w:val="left"/>
        <w:rPr>
          <w:rFonts w:ascii="Times New Roman" w:hAnsi="Times New Roman" w:eastAsia="仿宋"/>
          <w:b/>
          <w:color w:val="auto"/>
          <w:szCs w:val="28"/>
          <w:highlight w:val="none"/>
        </w:rPr>
      </w:pPr>
      <w:bookmarkStart w:id="254" w:name="_Toc97027593"/>
      <w:r>
        <w:rPr>
          <w:rFonts w:ascii="Times New Roman" w:hAnsi="Times New Roman" w:eastAsia="仿宋"/>
          <w:b/>
          <w:color w:val="auto"/>
          <w:szCs w:val="28"/>
          <w:highlight w:val="none"/>
        </w:rPr>
        <w:t>五、资格文件</w:t>
      </w:r>
      <w:bookmarkEnd w:id="254"/>
    </w:p>
    <w:p w14:paraId="69A0D2C1">
      <w:pPr>
        <w:widowControl/>
        <w:ind w:firstLine="0" w:firstLineChars="0"/>
        <w:jc w:val="left"/>
        <w:outlineLvl w:val="1"/>
        <w:rPr>
          <w:rFonts w:ascii="Times New Roman" w:hAnsi="Times New Roman" w:eastAsia="仿宋"/>
          <w:color w:val="auto"/>
          <w:szCs w:val="28"/>
          <w:highlight w:val="none"/>
        </w:rPr>
      </w:pPr>
      <w:bookmarkStart w:id="255" w:name="_Toc105081947"/>
      <w:bookmarkStart w:id="256" w:name="_Toc97027594"/>
      <w:bookmarkStart w:id="257" w:name="_Toc2183"/>
      <w:r>
        <w:rPr>
          <w:rFonts w:ascii="Times New Roman" w:hAnsi="Times New Roman" w:eastAsia="仿宋"/>
          <w:color w:val="auto"/>
          <w:szCs w:val="28"/>
          <w:highlight w:val="none"/>
        </w:rPr>
        <w:t>1.</w:t>
      </w:r>
      <w:bookmarkEnd w:id="255"/>
      <w:bookmarkEnd w:id="256"/>
      <w:bookmarkEnd w:id="257"/>
      <w:r>
        <w:rPr>
          <w:rFonts w:ascii="Times New Roman" w:hAnsi="Times New Roman" w:eastAsia="仿宋"/>
          <w:color w:val="auto"/>
          <w:highlight w:val="none"/>
        </w:rPr>
        <w:t xml:space="preserve"> </w:t>
      </w:r>
      <w:r>
        <w:rPr>
          <w:rFonts w:ascii="Times New Roman" w:hAnsi="Times New Roman" w:eastAsia="仿宋"/>
          <w:color w:val="auto"/>
          <w:szCs w:val="28"/>
          <w:highlight w:val="none"/>
        </w:rPr>
        <w:t>法人营业执照（副本）或事业单位法人证书（副本）或个体工商户营业执照或有效的自然人身份证明或社会团体法人登记证书复印件（加盖参选人公章）</w:t>
      </w:r>
    </w:p>
    <w:p w14:paraId="59C23890">
      <w:pPr>
        <w:tabs>
          <w:tab w:val="left" w:pos="6300"/>
        </w:tabs>
        <w:snapToGrid w:val="0"/>
        <w:spacing w:line="500" w:lineRule="exact"/>
        <w:ind w:firstLine="560"/>
        <w:rPr>
          <w:rFonts w:ascii="Times New Roman" w:hAnsi="Times New Roman" w:eastAsia="仿宋"/>
          <w:color w:val="auto"/>
          <w:highlight w:val="none"/>
        </w:rPr>
      </w:pPr>
    </w:p>
    <w:p w14:paraId="0B00DAAF">
      <w:pPr>
        <w:tabs>
          <w:tab w:val="left" w:pos="6300"/>
        </w:tabs>
        <w:snapToGrid w:val="0"/>
        <w:spacing w:line="500" w:lineRule="exact"/>
        <w:ind w:firstLine="560"/>
        <w:rPr>
          <w:rFonts w:ascii="Times New Roman" w:hAnsi="Times New Roman" w:eastAsia="仿宋"/>
          <w:color w:val="auto"/>
          <w:highlight w:val="none"/>
        </w:rPr>
      </w:pPr>
    </w:p>
    <w:p w14:paraId="3AD23468">
      <w:pPr>
        <w:tabs>
          <w:tab w:val="left" w:pos="6300"/>
        </w:tabs>
        <w:snapToGrid w:val="0"/>
        <w:spacing w:line="500" w:lineRule="exact"/>
        <w:ind w:firstLine="560"/>
        <w:rPr>
          <w:rFonts w:ascii="Times New Roman" w:hAnsi="Times New Roman" w:eastAsia="仿宋"/>
          <w:color w:val="auto"/>
          <w:highlight w:val="none"/>
        </w:rPr>
      </w:pPr>
    </w:p>
    <w:p w14:paraId="2D31428A">
      <w:pPr>
        <w:tabs>
          <w:tab w:val="left" w:pos="6300"/>
        </w:tabs>
        <w:snapToGrid w:val="0"/>
        <w:spacing w:line="500" w:lineRule="exact"/>
        <w:ind w:firstLine="560"/>
        <w:rPr>
          <w:rFonts w:ascii="Times New Roman" w:hAnsi="Times New Roman" w:eastAsia="仿宋"/>
          <w:color w:val="auto"/>
          <w:highlight w:val="none"/>
        </w:rPr>
      </w:pPr>
    </w:p>
    <w:p w14:paraId="55D269EB">
      <w:pPr>
        <w:tabs>
          <w:tab w:val="left" w:pos="6300"/>
        </w:tabs>
        <w:snapToGrid w:val="0"/>
        <w:spacing w:line="500" w:lineRule="exact"/>
        <w:ind w:firstLine="560"/>
        <w:rPr>
          <w:rFonts w:ascii="Times New Roman" w:hAnsi="Times New Roman" w:eastAsia="仿宋"/>
          <w:color w:val="auto"/>
          <w:highlight w:val="none"/>
        </w:rPr>
      </w:pPr>
    </w:p>
    <w:p w14:paraId="043648A5">
      <w:pPr>
        <w:tabs>
          <w:tab w:val="left" w:pos="6300"/>
        </w:tabs>
        <w:snapToGrid w:val="0"/>
        <w:spacing w:line="500" w:lineRule="exact"/>
        <w:ind w:firstLine="560"/>
        <w:rPr>
          <w:rFonts w:ascii="Times New Roman" w:hAnsi="Times New Roman" w:eastAsia="仿宋"/>
          <w:color w:val="auto"/>
          <w:highlight w:val="none"/>
        </w:rPr>
      </w:pPr>
    </w:p>
    <w:p w14:paraId="318DA77A">
      <w:pPr>
        <w:tabs>
          <w:tab w:val="left" w:pos="6300"/>
        </w:tabs>
        <w:snapToGrid w:val="0"/>
        <w:spacing w:line="500" w:lineRule="exact"/>
        <w:ind w:firstLine="0" w:firstLineChars="0"/>
        <w:rPr>
          <w:rFonts w:ascii="Times New Roman" w:hAnsi="Times New Roman" w:eastAsia="仿宋"/>
          <w:color w:val="auto"/>
          <w:highlight w:val="none"/>
        </w:rPr>
      </w:pPr>
    </w:p>
    <w:p w14:paraId="225EBC61">
      <w:pPr>
        <w:widowControl/>
        <w:spacing w:line="240" w:lineRule="auto"/>
        <w:ind w:firstLine="0" w:firstLineChars="0"/>
        <w:jc w:val="left"/>
        <w:rPr>
          <w:rFonts w:ascii="Times New Roman" w:hAnsi="Times New Roman" w:eastAsia="仿宋"/>
          <w:color w:val="auto"/>
          <w:szCs w:val="28"/>
          <w:highlight w:val="none"/>
        </w:rPr>
      </w:pPr>
    </w:p>
    <w:p w14:paraId="276D8C8A">
      <w:pPr>
        <w:ind w:left="560" w:firstLine="0" w:firstLineChars="0"/>
        <w:rPr>
          <w:rFonts w:ascii="Times New Roman" w:hAnsi="Times New Roman" w:eastAsia="仿宋"/>
          <w:color w:val="auto"/>
          <w:highlight w:val="none"/>
        </w:rPr>
      </w:pPr>
    </w:p>
    <w:p w14:paraId="30B53F8F">
      <w:pPr>
        <w:ind w:firstLine="560"/>
        <w:rPr>
          <w:rFonts w:ascii="Times New Roman" w:hAnsi="Times New Roman" w:eastAsia="仿宋"/>
          <w:color w:val="auto"/>
          <w:highlight w:val="none"/>
        </w:rPr>
      </w:pPr>
    </w:p>
    <w:p w14:paraId="345417FB">
      <w:pPr>
        <w:ind w:left="560" w:firstLine="0" w:firstLineChars="0"/>
        <w:rPr>
          <w:rFonts w:ascii="Times New Roman" w:hAnsi="Times New Roman" w:eastAsia="仿宋"/>
          <w:color w:val="auto"/>
          <w:highlight w:val="none"/>
        </w:rPr>
      </w:pPr>
    </w:p>
    <w:p w14:paraId="1928D985">
      <w:pPr>
        <w:widowControl/>
        <w:ind w:firstLine="0" w:firstLineChars="0"/>
        <w:jc w:val="left"/>
        <w:outlineLvl w:val="1"/>
        <w:rPr>
          <w:rFonts w:ascii="Times New Roman" w:hAnsi="Times New Roman" w:eastAsia="仿宋"/>
          <w:color w:val="auto"/>
          <w:szCs w:val="28"/>
          <w:highlight w:val="none"/>
        </w:rPr>
      </w:pPr>
      <w:bookmarkStart w:id="258" w:name="_Toc25694"/>
      <w:bookmarkStart w:id="259" w:name="_Toc97027595"/>
    </w:p>
    <w:p w14:paraId="4F2D74EB">
      <w:pPr>
        <w:widowControl/>
        <w:ind w:firstLine="0" w:firstLineChars="0"/>
        <w:jc w:val="left"/>
        <w:outlineLvl w:val="1"/>
        <w:rPr>
          <w:rFonts w:ascii="Times New Roman" w:hAnsi="Times New Roman" w:eastAsia="仿宋"/>
          <w:color w:val="auto"/>
          <w:szCs w:val="28"/>
          <w:highlight w:val="none"/>
        </w:rPr>
      </w:pPr>
    </w:p>
    <w:p w14:paraId="1DEB3EA7">
      <w:pPr>
        <w:widowControl/>
        <w:ind w:firstLine="0" w:firstLineChars="0"/>
        <w:jc w:val="left"/>
        <w:outlineLvl w:val="1"/>
        <w:rPr>
          <w:rFonts w:ascii="Times New Roman" w:hAnsi="Times New Roman" w:eastAsia="仿宋"/>
          <w:color w:val="auto"/>
          <w:szCs w:val="28"/>
          <w:highlight w:val="none"/>
        </w:rPr>
      </w:pPr>
    </w:p>
    <w:p w14:paraId="64CF59FE">
      <w:pPr>
        <w:widowControl/>
        <w:ind w:firstLine="0" w:firstLineChars="0"/>
        <w:jc w:val="left"/>
        <w:outlineLvl w:val="1"/>
        <w:rPr>
          <w:rFonts w:ascii="Times New Roman" w:hAnsi="Times New Roman" w:eastAsia="仿宋"/>
          <w:color w:val="auto"/>
          <w:szCs w:val="28"/>
          <w:highlight w:val="none"/>
        </w:rPr>
      </w:pPr>
    </w:p>
    <w:p w14:paraId="01BC5080">
      <w:pPr>
        <w:widowControl/>
        <w:ind w:firstLine="0" w:firstLineChars="0"/>
        <w:jc w:val="left"/>
        <w:outlineLvl w:val="1"/>
        <w:rPr>
          <w:rFonts w:ascii="Times New Roman" w:hAnsi="Times New Roman" w:eastAsia="仿宋"/>
          <w:color w:val="auto"/>
          <w:szCs w:val="28"/>
          <w:highlight w:val="none"/>
        </w:rPr>
      </w:pPr>
    </w:p>
    <w:p w14:paraId="3068EF34">
      <w:pPr>
        <w:widowControl/>
        <w:ind w:firstLine="0" w:firstLineChars="0"/>
        <w:jc w:val="left"/>
        <w:outlineLvl w:val="1"/>
        <w:rPr>
          <w:rFonts w:ascii="Times New Roman" w:hAnsi="Times New Roman" w:eastAsia="仿宋"/>
          <w:color w:val="auto"/>
          <w:szCs w:val="28"/>
          <w:highlight w:val="none"/>
        </w:rPr>
      </w:pPr>
    </w:p>
    <w:p w14:paraId="44AD7A48">
      <w:pPr>
        <w:widowControl/>
        <w:ind w:firstLine="0" w:firstLineChars="0"/>
        <w:jc w:val="left"/>
        <w:outlineLvl w:val="1"/>
        <w:rPr>
          <w:rFonts w:ascii="Times New Roman" w:hAnsi="Times New Roman" w:eastAsia="仿宋"/>
          <w:color w:val="auto"/>
          <w:szCs w:val="28"/>
          <w:highlight w:val="none"/>
        </w:rPr>
      </w:pPr>
    </w:p>
    <w:p w14:paraId="4E38E536">
      <w:pPr>
        <w:widowControl/>
        <w:ind w:firstLine="0" w:firstLineChars="0"/>
        <w:jc w:val="left"/>
        <w:outlineLvl w:val="1"/>
        <w:rPr>
          <w:rFonts w:ascii="Times New Roman" w:hAnsi="Times New Roman" w:eastAsia="仿宋"/>
          <w:color w:val="auto"/>
          <w:szCs w:val="28"/>
          <w:highlight w:val="none"/>
        </w:rPr>
      </w:pPr>
    </w:p>
    <w:p w14:paraId="77BE2646">
      <w:pPr>
        <w:widowControl/>
        <w:numPr>
          <w:ilvl w:val="0"/>
          <w:numId w:val="4"/>
        </w:numPr>
        <w:ind w:firstLine="0" w:firstLineChars="0"/>
        <w:jc w:val="left"/>
        <w:outlineLvl w:val="1"/>
        <w:rPr>
          <w:rFonts w:ascii="Times New Roman" w:hAnsi="Times New Roman" w:eastAsia="仿宋"/>
          <w:color w:val="auto"/>
          <w:szCs w:val="28"/>
          <w:highlight w:val="none"/>
        </w:rPr>
      </w:pPr>
      <w:bookmarkStart w:id="260" w:name="_Toc105081948"/>
      <w:r>
        <w:rPr>
          <w:rFonts w:ascii="Times New Roman" w:hAnsi="Times New Roman" w:eastAsia="仿宋"/>
          <w:color w:val="auto"/>
          <w:szCs w:val="28"/>
          <w:highlight w:val="none"/>
        </w:rPr>
        <w:t>法定代表人身份证明书（格式）</w:t>
      </w:r>
      <w:bookmarkEnd w:id="258"/>
      <w:bookmarkEnd w:id="259"/>
      <w:bookmarkEnd w:id="260"/>
    </w:p>
    <w:p w14:paraId="54CF4D94">
      <w:pPr>
        <w:pStyle w:val="8"/>
        <w:numPr>
          <w:ilvl w:val="255"/>
          <w:numId w:val="0"/>
        </w:numPr>
        <w:rPr>
          <w:rFonts w:ascii="Times New Roman" w:hAnsi="Times New Roman" w:eastAsia="仿宋"/>
          <w:color w:val="auto"/>
          <w:szCs w:val="28"/>
          <w:highlight w:val="none"/>
        </w:rPr>
      </w:pPr>
    </w:p>
    <w:p w14:paraId="2FE0143D">
      <w:pPr>
        <w:pStyle w:val="8"/>
        <w:numPr>
          <w:ilvl w:val="255"/>
          <w:numId w:val="0"/>
        </w:numPr>
        <w:rPr>
          <w:rFonts w:ascii="Times New Roman" w:hAnsi="Times New Roman" w:eastAsia="仿宋"/>
          <w:color w:val="auto"/>
          <w:szCs w:val="28"/>
          <w:highlight w:val="none"/>
        </w:rPr>
      </w:pPr>
    </w:p>
    <w:p w14:paraId="42752A19">
      <w:pPr>
        <w:snapToGrid w:val="0"/>
        <w:spacing w:line="600" w:lineRule="exact"/>
        <w:ind w:firstLine="0" w:firstLineChars="0"/>
        <w:jc w:val="center"/>
        <w:outlineLvl w:val="1"/>
        <w:rPr>
          <w:rFonts w:ascii="宋体" w:hAnsi="宋体" w:eastAsia="宋体" w:cs="宋体"/>
          <w:bCs/>
          <w:color w:val="auto"/>
          <w:sz w:val="24"/>
          <w:highlight w:val="none"/>
        </w:rPr>
      </w:pPr>
      <w:bookmarkStart w:id="261" w:name="_Toc97027596"/>
      <w:bookmarkStart w:id="262" w:name="_Toc105081949"/>
      <w:bookmarkStart w:id="263" w:name="_Toc2265"/>
      <w:r>
        <w:rPr>
          <w:rFonts w:hint="eastAsia" w:ascii="宋体" w:hAnsi="宋体" w:eastAsia="宋体" w:cs="宋体"/>
          <w:bCs/>
          <w:color w:val="auto"/>
          <w:sz w:val="24"/>
          <w:highlight w:val="none"/>
        </w:rPr>
        <w:t>法定代表人身份证明书</w:t>
      </w:r>
      <w:bookmarkEnd w:id="261"/>
      <w:bookmarkEnd w:id="262"/>
      <w:bookmarkEnd w:id="263"/>
    </w:p>
    <w:p w14:paraId="23DCD4EE">
      <w:pPr>
        <w:tabs>
          <w:tab w:val="left" w:pos="6300"/>
        </w:tabs>
        <w:snapToGrid w:val="0"/>
        <w:ind w:firstLine="170" w:firstLineChars="71"/>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（采购人名称）   :</w:t>
      </w:r>
    </w:p>
    <w:p w14:paraId="69E16BC0">
      <w:pPr>
        <w:tabs>
          <w:tab w:val="left" w:pos="6300"/>
        </w:tabs>
        <w:snapToGrid w:val="0"/>
        <w:ind w:firstLine="480"/>
        <w:rPr>
          <w:rFonts w:ascii="宋体" w:hAnsi="宋体" w:eastAsia="宋体" w:cs="宋体"/>
          <w:color w:val="auto"/>
          <w:sz w:val="24"/>
          <w:highlight w:val="none"/>
        </w:rPr>
      </w:pP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任</w:t>
      </w:r>
      <w:r>
        <w:rPr>
          <w:rFonts w:hint="eastAsia" w:ascii="宋体" w:hAnsi="宋体" w:eastAsia="宋体" w:cs="宋体"/>
          <w:color w:val="auto"/>
          <w:sz w:val="24"/>
          <w:highlight w:val="none"/>
          <w:u w:val="single"/>
        </w:rPr>
        <w:t>（职务名称）</w:t>
      </w:r>
      <w:r>
        <w:rPr>
          <w:rFonts w:hint="eastAsia" w:ascii="宋体" w:hAnsi="宋体" w:eastAsia="宋体" w:cs="宋体"/>
          <w:color w:val="auto"/>
          <w:sz w:val="24"/>
          <w:highlight w:val="none"/>
        </w:rPr>
        <w:t>职务，是__________________（供应商名称）的法定代表人，联系电话：__________________。</w:t>
      </w:r>
    </w:p>
    <w:p w14:paraId="07EF94EC">
      <w:pPr>
        <w:tabs>
          <w:tab w:val="left" w:pos="6300"/>
        </w:tabs>
        <w:snapToGrid w:val="0"/>
        <w:ind w:firstLine="480"/>
        <w:rPr>
          <w:rFonts w:ascii="宋体" w:hAnsi="宋体" w:eastAsia="宋体" w:cs="宋体"/>
          <w:color w:val="auto"/>
          <w:sz w:val="24"/>
          <w:highlight w:val="none"/>
        </w:rPr>
      </w:pPr>
    </w:p>
    <w:p w14:paraId="0D30D1FE">
      <w:pPr>
        <w:tabs>
          <w:tab w:val="left" w:pos="6300"/>
        </w:tabs>
        <w:snapToGrid w:val="0"/>
        <w:ind w:right="560" w:firstLine="480"/>
        <w:jc w:val="left"/>
        <w:rPr>
          <w:rFonts w:ascii="宋体" w:hAnsi="宋体" w:eastAsia="宋体" w:cs="宋体"/>
          <w:color w:val="auto"/>
          <w:sz w:val="24"/>
          <w:highlight w:val="none"/>
        </w:rPr>
      </w:pPr>
      <w:bookmarkStart w:id="264" w:name="_Toc58919196"/>
      <w:bookmarkStart w:id="265" w:name="_Toc58919068"/>
      <w:bookmarkStart w:id="266" w:name="_Toc58918987"/>
      <w:r>
        <w:rPr>
          <w:rFonts w:hint="eastAsia" w:ascii="宋体" w:hAnsi="宋体" w:eastAsia="宋体" w:cs="宋体"/>
          <w:color w:val="auto"/>
          <w:sz w:val="24"/>
          <w:highlight w:val="none"/>
        </w:rPr>
        <w:t>特此证明。</w:t>
      </w:r>
      <w:bookmarkEnd w:id="264"/>
      <w:bookmarkEnd w:id="265"/>
      <w:bookmarkEnd w:id="266"/>
    </w:p>
    <w:p w14:paraId="24F4AFDA">
      <w:pPr>
        <w:tabs>
          <w:tab w:val="left" w:pos="6300"/>
        </w:tabs>
        <w:snapToGrid w:val="0"/>
        <w:ind w:firstLine="480"/>
        <w:rPr>
          <w:rFonts w:ascii="宋体" w:hAnsi="宋体" w:eastAsia="宋体" w:cs="宋体"/>
          <w:color w:val="auto"/>
          <w:sz w:val="24"/>
          <w:highlight w:val="none"/>
        </w:rPr>
      </w:pPr>
    </w:p>
    <w:p w14:paraId="5A0B08F9">
      <w:pPr>
        <w:tabs>
          <w:tab w:val="left" w:pos="6300"/>
        </w:tabs>
        <w:snapToGrid w:val="0"/>
        <w:ind w:right="560"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74641CEF">
      <w:pPr>
        <w:tabs>
          <w:tab w:val="left" w:pos="6300"/>
        </w:tabs>
        <w:snapToGrid w:val="0"/>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14:paraId="3FB6ECEB">
      <w:pPr>
        <w:tabs>
          <w:tab w:val="left" w:pos="6300"/>
        </w:tabs>
        <w:snapToGrid w:val="0"/>
        <w:ind w:firstLine="480"/>
        <w:jc w:val="left"/>
        <w:rPr>
          <w:rFonts w:ascii="宋体" w:hAnsi="宋体" w:eastAsia="宋体" w:cs="宋体"/>
          <w:color w:val="auto"/>
          <w:sz w:val="24"/>
          <w:highlight w:val="none"/>
        </w:rPr>
      </w:pPr>
    </w:p>
    <w:p w14:paraId="67ABC305">
      <w:pPr>
        <w:tabs>
          <w:tab w:val="left" w:pos="6300"/>
        </w:tabs>
        <w:snapToGrid w:val="0"/>
        <w:spacing w:line="500" w:lineRule="exact"/>
        <w:ind w:firstLine="480"/>
        <w:rPr>
          <w:rFonts w:ascii="宋体" w:hAnsi="宋体" w:eastAsia="宋体" w:cs="宋体"/>
          <w:color w:val="auto"/>
          <w:sz w:val="24"/>
          <w:highlight w:val="none"/>
        </w:rPr>
      </w:pPr>
    </w:p>
    <w:p w14:paraId="436573E1">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61B4925">
      <w:pPr>
        <w:tabs>
          <w:tab w:val="left" w:pos="6300"/>
        </w:tabs>
        <w:snapToGrid w:val="0"/>
        <w:spacing w:line="500" w:lineRule="exact"/>
        <w:ind w:firstLine="480"/>
        <w:rPr>
          <w:rFonts w:ascii="宋体" w:hAnsi="宋体" w:eastAsia="宋体" w:cs="宋体"/>
          <w:color w:val="auto"/>
          <w:sz w:val="24"/>
          <w:highlight w:val="none"/>
        </w:rPr>
      </w:pPr>
    </w:p>
    <w:p w14:paraId="7FD1D213">
      <w:pPr>
        <w:tabs>
          <w:tab w:val="left" w:pos="6300"/>
        </w:tabs>
        <w:snapToGrid w:val="0"/>
        <w:spacing w:line="500" w:lineRule="exact"/>
        <w:ind w:firstLine="480"/>
        <w:rPr>
          <w:rFonts w:ascii="宋体" w:hAnsi="宋体" w:eastAsia="宋体" w:cs="宋体"/>
          <w:color w:val="auto"/>
          <w:sz w:val="24"/>
          <w:highlight w:val="none"/>
        </w:rPr>
      </w:pPr>
    </w:p>
    <w:p w14:paraId="2F75279A">
      <w:pPr>
        <w:tabs>
          <w:tab w:val="left" w:pos="6300"/>
        </w:tabs>
        <w:snapToGrid w:val="0"/>
        <w:spacing w:line="500" w:lineRule="exact"/>
        <w:ind w:firstLine="480"/>
        <w:rPr>
          <w:rFonts w:ascii="宋体" w:hAnsi="宋体" w:eastAsia="宋体" w:cs="宋体"/>
          <w:color w:val="auto"/>
          <w:sz w:val="24"/>
          <w:highlight w:val="none"/>
        </w:rPr>
      </w:pPr>
    </w:p>
    <w:p w14:paraId="3C7D0CCC">
      <w:pPr>
        <w:tabs>
          <w:tab w:val="left" w:pos="6300"/>
        </w:tabs>
        <w:snapToGrid w:val="0"/>
        <w:spacing w:line="500" w:lineRule="exact"/>
        <w:ind w:firstLine="480"/>
        <w:rPr>
          <w:rFonts w:ascii="Times New Roman" w:hAnsi="Times New Roman" w:eastAsia="仿宋"/>
          <w:color w:val="auto"/>
          <w:sz w:val="24"/>
          <w:highlight w:val="none"/>
        </w:rPr>
      </w:pPr>
    </w:p>
    <w:p w14:paraId="2460BD63">
      <w:pPr>
        <w:tabs>
          <w:tab w:val="left" w:pos="6300"/>
        </w:tabs>
        <w:snapToGrid w:val="0"/>
        <w:spacing w:line="500" w:lineRule="exact"/>
        <w:ind w:firstLine="480"/>
        <w:rPr>
          <w:rFonts w:ascii="Times New Roman" w:hAnsi="Times New Roman" w:eastAsia="仿宋"/>
          <w:color w:val="auto"/>
          <w:sz w:val="24"/>
          <w:highlight w:val="none"/>
        </w:rPr>
      </w:pPr>
    </w:p>
    <w:p w14:paraId="2E4E392F">
      <w:pPr>
        <w:tabs>
          <w:tab w:val="left" w:pos="6300"/>
        </w:tabs>
        <w:snapToGrid w:val="0"/>
        <w:spacing w:line="500" w:lineRule="exact"/>
        <w:ind w:firstLine="480"/>
        <w:rPr>
          <w:rFonts w:ascii="Times New Roman" w:hAnsi="Times New Roman" w:eastAsia="仿宋"/>
          <w:color w:val="auto"/>
          <w:sz w:val="24"/>
          <w:highlight w:val="none"/>
        </w:rPr>
      </w:pPr>
    </w:p>
    <w:p w14:paraId="09F49F16">
      <w:pPr>
        <w:widowControl/>
        <w:ind w:firstLine="0" w:firstLineChars="0"/>
        <w:jc w:val="left"/>
        <w:rPr>
          <w:rFonts w:ascii="Times New Roman" w:hAnsi="Times New Roman" w:eastAsia="仿宋"/>
          <w:color w:val="auto"/>
          <w:highlight w:val="none"/>
        </w:rPr>
      </w:pPr>
      <w:r>
        <w:rPr>
          <w:rFonts w:ascii="Times New Roman" w:hAnsi="Times New Roman" w:eastAsia="仿宋"/>
          <w:color w:val="auto"/>
          <w:highlight w:val="none"/>
        </w:rPr>
        <w:br w:type="column"/>
      </w:r>
      <w:r>
        <w:rPr>
          <w:rFonts w:ascii="Times New Roman" w:hAnsi="Times New Roman" w:eastAsia="仿宋"/>
          <w:color w:val="auto"/>
          <w:szCs w:val="28"/>
          <w:highlight w:val="none"/>
        </w:rPr>
        <w:t>3.法定代表人授权委托书（格式）</w:t>
      </w:r>
    </w:p>
    <w:p w14:paraId="0887CEC3">
      <w:pPr>
        <w:snapToGrid w:val="0"/>
        <w:spacing w:line="600" w:lineRule="exact"/>
        <w:ind w:firstLine="0" w:firstLineChars="0"/>
        <w:jc w:val="center"/>
        <w:outlineLvl w:val="0"/>
        <w:rPr>
          <w:rFonts w:ascii="宋体" w:hAnsi="宋体" w:eastAsia="宋体" w:cs="宋体"/>
          <w:bCs/>
          <w:color w:val="auto"/>
          <w:sz w:val="24"/>
          <w:highlight w:val="none"/>
        </w:rPr>
      </w:pPr>
      <w:bookmarkStart w:id="267" w:name="_Toc105081950"/>
      <w:bookmarkStart w:id="268" w:name="_Toc31928"/>
      <w:bookmarkStart w:id="269" w:name="_Toc22230"/>
      <w:bookmarkStart w:id="270" w:name="_Toc6017"/>
      <w:bookmarkStart w:id="271" w:name="_Toc194572031"/>
      <w:bookmarkStart w:id="272" w:name="_Toc97027597"/>
      <w:bookmarkStart w:id="273" w:name="_Toc12988"/>
      <w:bookmarkStart w:id="274" w:name="_Toc6808"/>
      <w:r>
        <w:rPr>
          <w:rFonts w:hint="eastAsia" w:ascii="宋体" w:hAnsi="宋体" w:eastAsia="宋体" w:cs="宋体"/>
          <w:bCs/>
          <w:color w:val="auto"/>
          <w:sz w:val="24"/>
          <w:highlight w:val="none"/>
        </w:rPr>
        <w:t>法定代表人授权委托书</w:t>
      </w:r>
      <w:bookmarkEnd w:id="267"/>
      <w:bookmarkEnd w:id="268"/>
      <w:bookmarkEnd w:id="269"/>
      <w:bookmarkEnd w:id="270"/>
      <w:bookmarkEnd w:id="271"/>
      <w:bookmarkEnd w:id="272"/>
      <w:bookmarkEnd w:id="273"/>
      <w:bookmarkEnd w:id="274"/>
    </w:p>
    <w:p w14:paraId="5D13B20E">
      <w:pPr>
        <w:snapToGrid w:val="0"/>
        <w:spacing w:line="600" w:lineRule="exact"/>
        <w:ind w:firstLine="480"/>
        <w:jc w:val="center"/>
        <w:rPr>
          <w:rFonts w:ascii="宋体" w:hAnsi="宋体" w:eastAsia="宋体" w:cs="宋体"/>
          <w:color w:val="auto"/>
          <w:sz w:val="24"/>
          <w:highlight w:val="none"/>
        </w:rPr>
      </w:pPr>
    </w:p>
    <w:p w14:paraId="57A2AB29">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68D2933">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致：（采购人名称）</w:t>
      </w:r>
    </w:p>
    <w:p w14:paraId="4072532F">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_____________________（供应商名称）是中华人民共和国合法企业，法定地址______________________________。</w:t>
      </w:r>
    </w:p>
    <w:p w14:paraId="7CEDFAC0">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 _________（供应商法定代表人姓名）特授权_________（被授权人姓名、身份证代码及电话号码）代表我单位全权办理对上述项目的比选、签约等具体工作，并签署全部有关的文件、协议及合同。</w:t>
      </w:r>
    </w:p>
    <w:p w14:paraId="50B99F4B">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7C20F0B6">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在撤销授权的书面通知以前，本授权书一直有效。被授权人签署的所有文件（在授权书有效期内签署的）不因授权的撤销而失效。</w:t>
      </w:r>
    </w:p>
    <w:p w14:paraId="16BF689C">
      <w:pPr>
        <w:tabs>
          <w:tab w:val="left" w:pos="6300"/>
        </w:tabs>
        <w:snapToGrid w:val="0"/>
        <w:spacing w:line="600" w:lineRule="exact"/>
        <w:ind w:firstLine="480"/>
        <w:rPr>
          <w:rFonts w:ascii="宋体" w:hAnsi="宋体" w:eastAsia="宋体" w:cs="宋体"/>
          <w:color w:val="auto"/>
          <w:sz w:val="24"/>
          <w:highlight w:val="none"/>
        </w:rPr>
      </w:pPr>
    </w:p>
    <w:p w14:paraId="481CF121">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被授权人：                            法定代表人：</w:t>
      </w:r>
    </w:p>
    <w:p w14:paraId="195B4B45">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（签字或盖章）                       （签字或盖章）</w:t>
      </w:r>
    </w:p>
    <w:p w14:paraId="5E634618">
      <w:pPr>
        <w:tabs>
          <w:tab w:val="left" w:pos="6300"/>
        </w:tabs>
        <w:snapToGrid w:val="0"/>
        <w:spacing w:line="600" w:lineRule="exact"/>
        <w:ind w:firstLine="480"/>
        <w:jc w:val="right"/>
        <w:rPr>
          <w:rFonts w:ascii="宋体" w:hAnsi="宋体" w:eastAsia="宋体" w:cs="宋体"/>
          <w:color w:val="auto"/>
          <w:sz w:val="24"/>
          <w:highlight w:val="none"/>
        </w:rPr>
      </w:pPr>
    </w:p>
    <w:p w14:paraId="2184F11E">
      <w:pPr>
        <w:tabs>
          <w:tab w:val="left" w:pos="6300"/>
        </w:tabs>
        <w:snapToGrid w:val="0"/>
        <w:spacing w:line="60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0422E30B">
      <w:pPr>
        <w:tabs>
          <w:tab w:val="left" w:pos="6300"/>
        </w:tabs>
        <w:snapToGrid w:val="0"/>
        <w:spacing w:line="600" w:lineRule="exact"/>
        <w:ind w:right="204"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年月日</w:t>
      </w:r>
    </w:p>
    <w:p w14:paraId="496CD9FD">
      <w:pPr>
        <w:tabs>
          <w:tab w:val="left" w:pos="6300"/>
        </w:tabs>
        <w:snapToGrid w:val="0"/>
        <w:spacing w:line="6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（附：被授权人身份证复印件）</w:t>
      </w:r>
    </w:p>
    <w:p w14:paraId="6FF39334">
      <w:pPr>
        <w:tabs>
          <w:tab w:val="left" w:pos="6300"/>
        </w:tabs>
        <w:snapToGrid w:val="0"/>
        <w:spacing w:line="600" w:lineRule="exact"/>
        <w:ind w:firstLine="480" w:firstLineChars="0"/>
        <w:rPr>
          <w:rFonts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注：若为法定代表人办理并签署比选文件的，不提供此文件。</w:t>
      </w:r>
    </w:p>
    <w:p w14:paraId="6E6318FD">
      <w:pPr>
        <w:widowControl/>
        <w:numPr>
          <w:ilvl w:val="255"/>
          <w:numId w:val="0"/>
        </w:numPr>
        <w:jc w:val="left"/>
        <w:rPr>
          <w:rFonts w:ascii="Times New Roman" w:hAnsi="Times New Roman" w:eastAsia="仿宋"/>
          <w:color w:val="auto"/>
          <w:szCs w:val="28"/>
          <w:highlight w:val="none"/>
        </w:rPr>
      </w:pPr>
      <w:r>
        <w:rPr>
          <w:rFonts w:ascii="Times New Roman" w:hAnsi="Times New Roman" w:eastAsia="仿宋"/>
          <w:color w:val="auto"/>
          <w:highlight w:val="none"/>
        </w:rPr>
        <w:br w:type="column"/>
      </w:r>
      <w:r>
        <w:rPr>
          <w:rFonts w:hint="eastAsia" w:ascii="Times New Roman" w:hAnsi="Times New Roman" w:eastAsia="仿宋"/>
          <w:color w:val="auto"/>
          <w:highlight w:val="none"/>
        </w:rPr>
        <w:t>4.</w:t>
      </w:r>
      <w:r>
        <w:rPr>
          <w:rFonts w:ascii="Times New Roman" w:hAnsi="Times New Roman" w:eastAsia="仿宋"/>
          <w:color w:val="auto"/>
          <w:szCs w:val="28"/>
          <w:highlight w:val="none"/>
        </w:rPr>
        <w:t>基本资格条件承诺函</w:t>
      </w:r>
    </w:p>
    <w:p w14:paraId="6AC29FB6">
      <w:pPr>
        <w:pStyle w:val="8"/>
        <w:numPr>
          <w:ilvl w:val="255"/>
          <w:numId w:val="0"/>
        </w:numPr>
        <w:rPr>
          <w:color w:val="auto"/>
          <w:highlight w:val="none"/>
        </w:rPr>
      </w:pPr>
    </w:p>
    <w:p w14:paraId="4776086C">
      <w:pPr>
        <w:spacing w:line="530" w:lineRule="exact"/>
        <w:ind w:firstLine="482"/>
        <w:jc w:val="center"/>
        <w:outlineLvl w:val="0"/>
        <w:rPr>
          <w:rFonts w:ascii="宋体" w:hAnsi="宋体" w:eastAsia="宋体" w:cs="宋体"/>
          <w:b/>
          <w:bCs/>
          <w:color w:val="auto"/>
          <w:sz w:val="24"/>
          <w:highlight w:val="none"/>
        </w:rPr>
      </w:pPr>
      <w:bookmarkStart w:id="275" w:name="_Toc30975"/>
      <w:bookmarkStart w:id="276" w:name="_Toc194572032"/>
      <w:bookmarkStart w:id="277" w:name="_Toc23676"/>
      <w:r>
        <w:rPr>
          <w:rFonts w:hint="eastAsia" w:ascii="宋体" w:hAnsi="宋体" w:eastAsia="宋体" w:cs="宋体"/>
          <w:b/>
          <w:bCs/>
          <w:color w:val="auto"/>
          <w:sz w:val="24"/>
          <w:highlight w:val="none"/>
        </w:rPr>
        <w:t>基本资格条件承诺函</w:t>
      </w:r>
      <w:bookmarkEnd w:id="275"/>
      <w:bookmarkEnd w:id="276"/>
      <w:bookmarkEnd w:id="277"/>
    </w:p>
    <w:p w14:paraId="162DE204">
      <w:pPr>
        <w:tabs>
          <w:tab w:val="left" w:pos="6300"/>
        </w:tabs>
        <w:snapToGrid w:val="0"/>
        <w:spacing w:line="530" w:lineRule="exact"/>
        <w:ind w:firstLine="0" w:firstLineChars="0"/>
        <w:rPr>
          <w:rFonts w:ascii="宋体" w:hAnsi="宋体" w:eastAsia="宋体" w:cs="宋体"/>
          <w:color w:val="auto"/>
          <w:sz w:val="24"/>
          <w:highlight w:val="none"/>
        </w:rPr>
      </w:pPr>
    </w:p>
    <w:p w14:paraId="79447191">
      <w:pPr>
        <w:tabs>
          <w:tab w:val="left" w:pos="6300"/>
        </w:tabs>
        <w:snapToGrid w:val="0"/>
        <w:spacing w:line="530" w:lineRule="exact"/>
        <w:ind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（采购人名称）：</w:t>
      </w:r>
    </w:p>
    <w:p w14:paraId="51C5B7C5">
      <w:pPr>
        <w:tabs>
          <w:tab w:val="left" w:pos="6300"/>
        </w:tabs>
        <w:snapToGrid w:val="0"/>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（参选人名称）</w:t>
      </w:r>
      <w:r>
        <w:rPr>
          <w:rFonts w:hint="eastAsia" w:ascii="宋体" w:hAnsi="宋体" w:eastAsia="宋体" w:cs="宋体"/>
          <w:color w:val="auto"/>
          <w:sz w:val="24"/>
          <w:highlight w:val="none"/>
        </w:rPr>
        <w:t>郑重承诺：</w:t>
      </w:r>
    </w:p>
    <w:p w14:paraId="2927D038">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776BAB0A">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2.我方未</w:t>
      </w:r>
      <w:r>
        <w:rPr>
          <w:rFonts w:hint="eastAsia" w:ascii="宋体" w:hAnsi="宋体" w:eastAsia="宋体" w:cs="宋体"/>
          <w:color w:val="auto"/>
          <w:sz w:val="24"/>
          <w:highlight w:val="none"/>
          <w:lang w:eastAsia="zh-CN"/>
        </w:rPr>
        <w:t>列入</w:t>
      </w:r>
      <w:r>
        <w:rPr>
          <w:rFonts w:hint="eastAsia" w:ascii="宋体" w:hAnsi="宋体" w:eastAsia="宋体" w:cs="宋体"/>
          <w:color w:val="auto"/>
          <w:sz w:val="24"/>
          <w:highlight w:val="none"/>
        </w:rPr>
        <w:t>信用中国网站（www.creditchina.gov.cn）“失信被执行人”“重大税收违法案件当事人名单”中，也未列入中国政府采购网（www.ccgp.gov.cn）“政府采购严重违法失信行为记录名单”中。</w:t>
      </w:r>
    </w:p>
    <w:p w14:paraId="788D8F66">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3.我方在采购项目评审（评选）环节结束后，随时接受采购人的检查验证，配合提供相关证明材料，证明符合《中华人民共和国政府采购法》规定的参选供应商基本资格条件。</w:t>
      </w:r>
    </w:p>
    <w:p w14:paraId="69C32421">
      <w:pPr>
        <w:tabs>
          <w:tab w:val="left" w:pos="6300"/>
        </w:tabs>
        <w:snapToGrid w:val="0"/>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7E4DEB5D">
      <w:pPr>
        <w:tabs>
          <w:tab w:val="left" w:pos="6300"/>
        </w:tabs>
        <w:snapToGrid w:val="0"/>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14:paraId="0E4B45C6">
      <w:pPr>
        <w:tabs>
          <w:tab w:val="left" w:pos="6300"/>
        </w:tabs>
        <w:snapToGrid w:val="0"/>
        <w:spacing w:line="530" w:lineRule="exact"/>
        <w:ind w:firstLine="0" w:firstLineChars="0"/>
        <w:rPr>
          <w:rFonts w:ascii="宋体" w:hAnsi="宋体" w:eastAsia="宋体" w:cs="宋体"/>
          <w:color w:val="auto"/>
          <w:sz w:val="24"/>
          <w:highlight w:val="none"/>
        </w:rPr>
      </w:pPr>
    </w:p>
    <w:p w14:paraId="78C0817C">
      <w:pPr>
        <w:tabs>
          <w:tab w:val="left" w:pos="6300"/>
        </w:tabs>
        <w:snapToGrid w:val="0"/>
        <w:spacing w:line="530" w:lineRule="exact"/>
        <w:ind w:right="424" w:firstLine="570" w:firstLineChars="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0C3479F8">
      <w:pPr>
        <w:tabs>
          <w:tab w:val="left" w:pos="6300"/>
        </w:tabs>
        <w:snapToGrid w:val="0"/>
        <w:spacing w:line="500" w:lineRule="exact"/>
        <w:ind w:firstLine="7442" w:firstLineChars="3101"/>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p w14:paraId="5437E5C0">
      <w:pPr>
        <w:widowControl/>
        <w:ind w:firstLine="0" w:firstLineChars="0"/>
        <w:jc w:val="left"/>
        <w:rPr>
          <w:rFonts w:ascii="宋体" w:hAnsi="宋体" w:eastAsia="宋体" w:cs="宋体"/>
          <w:color w:val="auto"/>
          <w:sz w:val="24"/>
          <w:highlight w:val="none"/>
        </w:rPr>
      </w:pPr>
    </w:p>
    <w:p w14:paraId="7F75DB9A">
      <w:pPr>
        <w:tabs>
          <w:tab w:val="left" w:pos="6300"/>
        </w:tabs>
        <w:snapToGrid w:val="0"/>
        <w:spacing w:line="500" w:lineRule="exact"/>
        <w:ind w:firstLine="560"/>
        <w:jc w:val="center"/>
        <w:rPr>
          <w:rFonts w:ascii="Times New Roman" w:hAnsi="Times New Roman" w:eastAsia="仿宋"/>
          <w:color w:val="auto"/>
          <w:highlight w:val="none"/>
        </w:rPr>
      </w:pPr>
    </w:p>
    <w:p w14:paraId="4A6C9C6F">
      <w:pPr>
        <w:tabs>
          <w:tab w:val="left" w:pos="6300"/>
        </w:tabs>
        <w:snapToGrid w:val="0"/>
        <w:spacing w:line="500" w:lineRule="exact"/>
        <w:ind w:left="0" w:leftChars="0" w:firstLine="0" w:firstLineChars="0"/>
        <w:jc w:val="both"/>
        <w:rPr>
          <w:rFonts w:ascii="Times New Roman" w:hAnsi="Times New Roman" w:eastAsia="仿宋"/>
          <w:color w:val="auto"/>
          <w:highlight w:val="none"/>
        </w:rPr>
      </w:pPr>
    </w:p>
    <w:p w14:paraId="43BA343A">
      <w:pPr>
        <w:tabs>
          <w:tab w:val="left" w:pos="6300"/>
        </w:tabs>
        <w:snapToGrid w:val="0"/>
        <w:spacing w:line="500" w:lineRule="exact"/>
        <w:ind w:firstLine="0" w:firstLineChars="0"/>
        <w:jc w:val="left"/>
        <w:rPr>
          <w:rFonts w:ascii="Times New Roman" w:hAnsi="Times New Roman" w:eastAsia="仿宋"/>
          <w:color w:val="auto"/>
          <w:szCs w:val="28"/>
          <w:highlight w:val="none"/>
        </w:rPr>
      </w:pPr>
      <w:r>
        <w:rPr>
          <w:rFonts w:ascii="Times New Roman" w:hAnsi="Times New Roman" w:eastAsia="仿宋"/>
          <w:color w:val="auto"/>
          <w:highlight w:val="none"/>
        </w:rPr>
        <w:t>5.承诺函（格式自拟）</w:t>
      </w:r>
    </w:p>
    <w:p w14:paraId="5972701B">
      <w:pPr>
        <w:pStyle w:val="2"/>
        <w:ind w:firstLine="480"/>
        <w:rPr>
          <w:rFonts w:eastAsia="仿宋"/>
          <w:color w:val="auto"/>
          <w:highlight w:val="none"/>
        </w:rPr>
      </w:pPr>
    </w:p>
    <w:p w14:paraId="1643B040">
      <w:pPr>
        <w:snapToGrid w:val="0"/>
        <w:spacing w:line="560" w:lineRule="exact"/>
        <w:ind w:firstLine="560"/>
        <w:jc w:val="center"/>
        <w:rPr>
          <w:rFonts w:ascii="仿宋" w:hAnsi="仿宋" w:eastAsia="仿宋" w:cs="方正仿宋_GBK"/>
          <w:bCs/>
          <w:highlight w:val="none"/>
        </w:rPr>
      </w:pPr>
      <w:r>
        <w:rPr>
          <w:rFonts w:hint="eastAsia" w:ascii="仿宋" w:hAnsi="仿宋" w:eastAsia="仿宋" w:cs="方正仿宋_GBK"/>
          <w:bCs/>
          <w:highlight w:val="none"/>
        </w:rPr>
        <w:t>承诺函</w:t>
      </w:r>
    </w:p>
    <w:p w14:paraId="3DCD4511">
      <w:pPr>
        <w:snapToGrid w:val="0"/>
        <w:spacing w:line="500" w:lineRule="exact"/>
        <w:ind w:firstLine="560"/>
        <w:rPr>
          <w:rFonts w:ascii="仿宋" w:hAnsi="仿宋" w:eastAsia="仿宋" w:cs="方正仿宋_GBK"/>
          <w:bCs/>
          <w:highlight w:val="none"/>
        </w:rPr>
      </w:pPr>
      <w:r>
        <w:rPr>
          <w:rFonts w:hint="eastAsia" w:ascii="仿宋" w:hAnsi="仿宋" w:eastAsia="仿宋" w:cs="方正仿宋_GBK"/>
          <w:bCs/>
          <w:highlight w:val="none"/>
        </w:rPr>
        <w:t xml:space="preserve"> </w:t>
      </w:r>
    </w:p>
    <w:p w14:paraId="06DF7166">
      <w:pPr>
        <w:spacing w:line="53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致</w:t>
      </w:r>
      <w:r>
        <w:rPr>
          <w:rFonts w:ascii="宋体" w:hAnsi="宋体" w:eastAsia="宋体" w:cs="宋体"/>
          <w:color w:val="auto"/>
          <w:sz w:val="24"/>
          <w:highlight w:val="none"/>
          <w:u w:val="single"/>
        </w:rPr>
        <w:t>：</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r>
        <w:rPr>
          <w:rFonts w:ascii="宋体" w:hAnsi="宋体" w:eastAsia="宋体" w:cs="宋体"/>
          <w:color w:val="auto"/>
          <w:sz w:val="24"/>
          <w:highlight w:val="none"/>
        </w:rPr>
        <w:t>（采购人）：</w:t>
      </w:r>
    </w:p>
    <w:p w14:paraId="450E0FD3">
      <w:pPr>
        <w:spacing w:line="53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我单位在参加</w:t>
      </w:r>
      <w:r>
        <w:rPr>
          <w:rFonts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采购</w:t>
      </w:r>
      <w:r>
        <w:rPr>
          <w:rFonts w:ascii="宋体" w:hAnsi="宋体" w:eastAsia="宋体" w:cs="宋体"/>
          <w:color w:val="auto"/>
          <w:sz w:val="24"/>
          <w:highlight w:val="none"/>
        </w:rPr>
        <w:t>活动中，郑重承诺不存在下列情形：</w:t>
      </w:r>
    </w:p>
    <w:p w14:paraId="4781ED37">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1.单位股东非华龙网公司员工及配偶、员工子女及其配偶；</w:t>
      </w:r>
    </w:p>
    <w:p w14:paraId="5E762F78">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2.单位负责人为同一人或者存在直接控股、管理关系的不同参选供应商，不得参加同一合同项（包）下的招标活动”。</w:t>
      </w:r>
    </w:p>
    <w:p w14:paraId="7707FC49">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我单位若有违反本承诺内容的行为，愿意承担法律责任，愿意接受相关规定做出的处罚。</w:t>
      </w:r>
    </w:p>
    <w:p w14:paraId="086679BA">
      <w:pPr>
        <w:spacing w:line="530" w:lineRule="exact"/>
        <w:ind w:firstLine="480"/>
        <w:rPr>
          <w:rFonts w:ascii="宋体" w:hAnsi="宋体" w:eastAsia="宋体" w:cs="宋体"/>
          <w:color w:val="auto"/>
          <w:sz w:val="24"/>
          <w:highlight w:val="none"/>
        </w:rPr>
      </w:pPr>
    </w:p>
    <w:p w14:paraId="5E589C20">
      <w:pPr>
        <w:spacing w:line="530" w:lineRule="exact"/>
        <w:ind w:firstLine="480"/>
        <w:rPr>
          <w:rFonts w:ascii="宋体" w:hAnsi="宋体" w:eastAsia="宋体" w:cs="宋体"/>
          <w:color w:val="auto"/>
          <w:sz w:val="24"/>
          <w:highlight w:val="none"/>
        </w:rPr>
      </w:pPr>
    </w:p>
    <w:p w14:paraId="086A6360">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747314FE">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7DF93A2C">
      <w:pPr>
        <w:snapToGrid w:val="0"/>
        <w:spacing w:line="500" w:lineRule="exact"/>
        <w:ind w:firstLine="560"/>
        <w:rPr>
          <w:rFonts w:ascii="仿宋" w:hAnsi="仿宋" w:eastAsia="仿宋" w:cs="方正仿宋_GBK"/>
          <w:bCs/>
          <w:highlight w:val="none"/>
        </w:rPr>
      </w:pPr>
    </w:p>
    <w:p w14:paraId="5D39AB62">
      <w:pPr>
        <w:snapToGrid w:val="0"/>
        <w:spacing w:line="500" w:lineRule="exact"/>
        <w:ind w:firstLine="560"/>
        <w:rPr>
          <w:rFonts w:ascii="仿宋" w:hAnsi="仿宋" w:eastAsia="仿宋" w:cs="方正仿宋_GBK"/>
          <w:bCs/>
          <w:highlight w:val="none"/>
        </w:rPr>
      </w:pPr>
    </w:p>
    <w:p w14:paraId="0870C31E">
      <w:pPr>
        <w:spacing w:line="53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68FA1AAE">
      <w:pPr>
        <w:spacing w:line="53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年    月    日</w:t>
      </w:r>
    </w:p>
    <w:p w14:paraId="5DDE7BAC">
      <w:pPr>
        <w:ind w:firstLine="560"/>
        <w:rPr>
          <w:rFonts w:ascii="Times New Roman" w:hAnsi="Times New Roman" w:eastAsia="仿宋"/>
          <w:color w:val="auto"/>
          <w:highlight w:val="none"/>
        </w:rPr>
      </w:pPr>
    </w:p>
    <w:p w14:paraId="3B3B55FE">
      <w:pPr>
        <w:pStyle w:val="2"/>
        <w:ind w:firstLine="480"/>
        <w:rPr>
          <w:rFonts w:eastAsia="仿宋"/>
          <w:color w:val="auto"/>
          <w:highlight w:val="none"/>
        </w:rPr>
      </w:pPr>
    </w:p>
    <w:p w14:paraId="6E5EC950">
      <w:pPr>
        <w:tabs>
          <w:tab w:val="left" w:pos="6300"/>
        </w:tabs>
        <w:snapToGrid w:val="0"/>
        <w:spacing w:line="500" w:lineRule="exact"/>
        <w:ind w:firstLine="560"/>
        <w:jc w:val="center"/>
        <w:rPr>
          <w:rFonts w:ascii="Times New Roman" w:hAnsi="Times New Roman" w:eastAsia="仿宋"/>
          <w:color w:val="auto"/>
          <w:highlight w:val="none"/>
        </w:rPr>
      </w:pPr>
    </w:p>
    <w:p w14:paraId="663C92AF">
      <w:pPr>
        <w:pStyle w:val="2"/>
        <w:rPr>
          <w:highlight w:val="none"/>
        </w:rPr>
      </w:pPr>
    </w:p>
    <w:p w14:paraId="3F3F826B">
      <w:pPr>
        <w:widowControl/>
        <w:spacing w:line="240" w:lineRule="auto"/>
        <w:ind w:firstLine="0" w:firstLineChars="0"/>
        <w:jc w:val="left"/>
        <w:rPr>
          <w:rFonts w:ascii="Times New Roman" w:hAnsi="Times New Roman" w:eastAsia="仿宋"/>
          <w:color w:val="auto"/>
          <w:szCs w:val="28"/>
          <w:highlight w:val="none"/>
        </w:rPr>
      </w:pPr>
    </w:p>
    <w:p w14:paraId="027B160C">
      <w:pPr>
        <w:widowControl/>
        <w:spacing w:line="240" w:lineRule="auto"/>
        <w:ind w:firstLine="0" w:firstLineChars="0"/>
        <w:jc w:val="left"/>
        <w:rPr>
          <w:rFonts w:ascii="Times New Roman" w:hAnsi="Times New Roman" w:eastAsia="仿宋"/>
          <w:b/>
          <w:bCs/>
          <w:color w:val="auto"/>
          <w:sz w:val="32"/>
          <w:szCs w:val="32"/>
          <w:highlight w:val="none"/>
        </w:rPr>
      </w:pPr>
      <w:r>
        <w:rPr>
          <w:rFonts w:ascii="Times New Roman" w:hAnsi="Times New Roman" w:eastAsia="仿宋"/>
          <w:color w:val="auto"/>
          <w:szCs w:val="28"/>
          <w:highlight w:val="none"/>
        </w:rPr>
        <w:t>6.诚信声明</w:t>
      </w:r>
      <w:bookmarkEnd w:id="190"/>
      <w:bookmarkEnd w:id="191"/>
      <w:bookmarkEnd w:id="192"/>
      <w:bookmarkEnd w:id="193"/>
      <w:bookmarkEnd w:id="194"/>
    </w:p>
    <w:p w14:paraId="47096F4D">
      <w:pPr>
        <w:tabs>
          <w:tab w:val="left" w:pos="6300"/>
        </w:tabs>
        <w:spacing w:line="360" w:lineRule="auto"/>
        <w:ind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诚信声明</w:t>
      </w:r>
    </w:p>
    <w:p w14:paraId="4FFFA581">
      <w:pPr>
        <w:tabs>
          <w:tab w:val="left" w:pos="6300"/>
        </w:tabs>
        <w:snapToGrid w:val="0"/>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w:t>
      </w:r>
    </w:p>
    <w:p w14:paraId="1D7D301D">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我单位在参加贵司组织的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（项目名称）竞争性比选活动中，郑重承诺如下：</w:t>
      </w:r>
    </w:p>
    <w:p w14:paraId="66AB91BD">
      <w:pPr>
        <w:spacing w:line="530" w:lineRule="exact"/>
        <w:ind w:firstLine="480"/>
        <w:rPr>
          <w:rFonts w:ascii="宋体" w:hAnsi="宋体" w:eastAsia="宋体" w:cs="宋体"/>
          <w:color w:val="auto"/>
          <w:spacing w:val="-6"/>
          <w:sz w:val="24"/>
          <w:highlight w:val="none"/>
        </w:rPr>
      </w:pPr>
      <w:r>
        <w:rPr>
          <w:rFonts w:hint="eastAsia" w:ascii="宋体" w:hAnsi="宋体" w:eastAsia="宋体" w:cs="宋体"/>
          <w:color w:val="auto"/>
          <w:sz w:val="24"/>
          <w:highlight w:val="none"/>
        </w:rPr>
        <w:t>1.遵循公</w:t>
      </w:r>
      <w:r>
        <w:rPr>
          <w:rFonts w:hint="eastAsia" w:ascii="宋体" w:hAnsi="宋体" w:eastAsia="宋体" w:cs="宋体"/>
          <w:color w:val="auto"/>
          <w:spacing w:val="-6"/>
          <w:sz w:val="24"/>
          <w:highlight w:val="none"/>
        </w:rPr>
        <w:t>开、公平、公正和诚实守信的原则参加该项目竞争性比选活动；</w:t>
      </w:r>
    </w:p>
    <w:p w14:paraId="5F02EB41">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2.所提供的一切材料都是真实、有效、合法的；</w:t>
      </w:r>
    </w:p>
    <w:p w14:paraId="0E081686">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3.不与参与此次竞争性比选活动的其他供应商相互串通报价，不排挤其他供应商的公平竞争；</w:t>
      </w:r>
    </w:p>
    <w:p w14:paraId="6754DA75">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4.不向采购人成员贿赂以牟取中选；</w:t>
      </w:r>
    </w:p>
    <w:p w14:paraId="3D4DBB28">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5.不以他人名义参与此次竞争性比选活动或者以其他方式弄虚作假；</w:t>
      </w:r>
    </w:p>
    <w:p w14:paraId="6A11C2A6">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6.不恶意压低或抬高报价；</w:t>
      </w:r>
    </w:p>
    <w:p w14:paraId="46654155">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7.不在竞争性比选活动后进行虚假恶意投诉；</w:t>
      </w:r>
    </w:p>
    <w:p w14:paraId="35882A5A">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8.我单位一旦中选，不进行违法分包、转包，按照比选邀请函要求的时间与贵司签订合同，并严格按照采购人的要求完成本次项目。</w:t>
      </w:r>
    </w:p>
    <w:p w14:paraId="43CD9BAE">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我单位若有违反本承诺内容的行为，愿意承担法律责任，愿意接受相关规定做出的处罚。</w:t>
      </w:r>
    </w:p>
    <w:p w14:paraId="41DA4C03">
      <w:pPr>
        <w:spacing w:line="530" w:lineRule="exact"/>
        <w:ind w:firstLine="480"/>
        <w:rPr>
          <w:rFonts w:ascii="宋体" w:hAnsi="宋体" w:eastAsia="宋体" w:cs="宋体"/>
          <w:color w:val="auto"/>
          <w:sz w:val="24"/>
          <w:highlight w:val="none"/>
        </w:rPr>
      </w:pPr>
    </w:p>
    <w:p w14:paraId="6EA2D4D8">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授权代表签字：</w:t>
      </w:r>
    </w:p>
    <w:p w14:paraId="77CC66CA">
      <w:pPr>
        <w:spacing w:line="53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77904B31">
      <w:pPr>
        <w:tabs>
          <w:tab w:val="left" w:pos="6300"/>
        </w:tabs>
        <w:snapToGrid w:val="0"/>
        <w:spacing w:line="360" w:lineRule="auto"/>
        <w:ind w:firstLine="480"/>
        <w:rPr>
          <w:rFonts w:ascii="宋体" w:hAnsi="宋体" w:eastAsia="宋体" w:cs="宋体"/>
          <w:color w:val="auto"/>
          <w:sz w:val="24"/>
          <w:highlight w:val="none"/>
        </w:rPr>
      </w:pPr>
    </w:p>
    <w:p w14:paraId="75A181B8">
      <w:pPr>
        <w:tabs>
          <w:tab w:val="left" w:pos="6300"/>
        </w:tabs>
        <w:snapToGrid w:val="0"/>
        <w:spacing w:line="360" w:lineRule="auto"/>
        <w:ind w:firstLine="480"/>
        <w:rPr>
          <w:rFonts w:ascii="宋体" w:hAnsi="宋体" w:eastAsia="宋体" w:cs="宋体"/>
          <w:color w:val="auto"/>
          <w:sz w:val="24"/>
          <w:highlight w:val="none"/>
        </w:rPr>
      </w:pPr>
    </w:p>
    <w:p w14:paraId="4FFA77D7">
      <w:pPr>
        <w:spacing w:line="53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56D440A8">
      <w:pPr>
        <w:spacing w:line="530" w:lineRule="exact"/>
        <w:ind w:firstLine="480"/>
        <w:jc w:val="right"/>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年    月    日</w:t>
      </w:r>
    </w:p>
    <w:p w14:paraId="27C146CC">
      <w:pPr>
        <w:pStyle w:val="3"/>
        <w:ind w:firstLine="480"/>
        <w:jc w:val="center"/>
        <w:rPr>
          <w:rFonts w:ascii="Times New Roman" w:hAnsi="Times New Roman" w:eastAsia="仿宋" w:cs="Times New Roman"/>
          <w:color w:val="auto"/>
          <w:sz w:val="24"/>
          <w:szCs w:val="24"/>
          <w:highlight w:val="none"/>
        </w:rPr>
      </w:pPr>
      <w:bookmarkStart w:id="278" w:name="_Toc20481"/>
      <w:bookmarkStart w:id="279" w:name="_Toc194572033"/>
      <w:bookmarkStart w:id="280" w:name="_Toc16237"/>
    </w:p>
    <w:p w14:paraId="3CC5CAD0">
      <w:pPr>
        <w:pStyle w:val="3"/>
        <w:ind w:firstLine="480"/>
        <w:jc w:val="center"/>
        <w:rPr>
          <w:rFonts w:ascii="Times New Roman" w:hAnsi="Times New Roman" w:eastAsia="仿宋" w:cs="Times New Roman"/>
          <w:color w:val="auto"/>
          <w:sz w:val="24"/>
          <w:szCs w:val="24"/>
          <w:highlight w:val="none"/>
        </w:rPr>
      </w:pPr>
    </w:p>
    <w:p w14:paraId="0B026B14">
      <w:pPr>
        <w:pStyle w:val="3"/>
        <w:ind w:firstLine="562"/>
        <w:jc w:val="center"/>
        <w:rPr>
          <w:rFonts w:ascii="Times New Roman" w:hAnsi="Times New Roman" w:eastAsia="仿宋" w:cs="Times New Roman"/>
          <w:b/>
          <w:bCs/>
          <w:color w:val="auto"/>
          <w:sz w:val="28"/>
          <w:szCs w:val="28"/>
          <w:highlight w:val="none"/>
        </w:rPr>
      </w:pPr>
      <w:bookmarkStart w:id="281" w:name="_Toc15418"/>
      <w:bookmarkStart w:id="282" w:name="_Toc22481"/>
      <w:r>
        <w:rPr>
          <w:rFonts w:ascii="Times New Roman" w:hAnsi="Times New Roman" w:eastAsia="仿宋" w:cs="Times New Roman"/>
          <w:b/>
          <w:bCs/>
          <w:color w:val="auto"/>
          <w:sz w:val="28"/>
          <w:szCs w:val="28"/>
          <w:highlight w:val="none"/>
        </w:rPr>
        <w:t>（结束）</w:t>
      </w:r>
      <w:bookmarkEnd w:id="278"/>
      <w:bookmarkEnd w:id="279"/>
      <w:bookmarkEnd w:id="280"/>
      <w:bookmarkEnd w:id="281"/>
      <w:bookmarkEnd w:id="282"/>
    </w:p>
    <w:p w14:paraId="76D285C0">
      <w:pPr>
        <w:ind w:firstLine="560"/>
        <w:rPr>
          <w:rFonts w:ascii="Times New Roman" w:hAnsi="Times New Roman" w:eastAsia="仿宋"/>
          <w:color w:val="auto"/>
          <w:highlight w:val="none"/>
        </w:rPr>
      </w:pPr>
    </w:p>
    <w:p w14:paraId="05620C64">
      <w:pPr>
        <w:ind w:firstLine="560"/>
        <w:rPr>
          <w:highlight w:val="none"/>
        </w:rPr>
      </w:pPr>
    </w:p>
    <w:sectPr>
      <w:headerReference r:id="rId11" w:type="default"/>
      <w:footerReference r:id="rId12" w:type="default"/>
      <w:pgSz w:w="11906" w:h="16838"/>
      <w:pgMar w:top="2098" w:right="1418" w:bottom="1985" w:left="1418" w:header="851" w:footer="567"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iti SC Medium">
    <w:altName w:val="宋体"/>
    <w:panose1 w:val="00000000000000000000"/>
    <w:charset w:val="86"/>
    <w:family w:val="auto"/>
    <w:pitch w:val="default"/>
    <w:sig w:usb0="00000000" w:usb1="00000000" w:usb2="00000000" w:usb3="00000000" w:csb0="203E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A8614">
    <w:pPr>
      <w:pStyle w:val="13"/>
      <w:ind w:firstLine="422"/>
      <w:jc w:val="center"/>
      <w:rPr>
        <w:rFonts w:ascii="Times New Roman" w:hAnsi="Times New Roman"/>
        <w:b/>
        <w:sz w:val="21"/>
        <w:szCs w:val="21"/>
      </w:rPr>
    </w:pPr>
  </w:p>
  <w:p w14:paraId="2B166098">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58C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40D15">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b/>
        <w:bCs/>
        <w:sz w:val="21"/>
        <w:szCs w:val="21"/>
      </w:rPr>
    </w:sdtEndPr>
    <w:sdtContent>
      <w:p w14:paraId="5C122052">
        <w:pPr>
          <w:pStyle w:val="13"/>
          <w:ind w:firstLine="360"/>
          <w:jc w:val="center"/>
          <w:rPr>
            <w:rFonts w:ascii="Times New Roman" w:hAnsi="Times New Roman"/>
            <w:b/>
            <w:bCs/>
            <w:sz w:val="21"/>
            <w:szCs w:val="21"/>
          </w:rPr>
        </w:pPr>
        <w:r>
          <w:rPr>
            <w:rFonts w:ascii="Times New Roman" w:hAnsi="Times New Roman"/>
            <w:b/>
            <w:bCs/>
            <w:sz w:val="21"/>
            <w:szCs w:val="21"/>
          </w:rPr>
          <w:fldChar w:fldCharType="begin"/>
        </w:r>
        <w:r>
          <w:rPr>
            <w:rFonts w:ascii="Times New Roman" w:hAnsi="Times New Roman"/>
            <w:b/>
            <w:bCs/>
            <w:sz w:val="21"/>
            <w:szCs w:val="21"/>
          </w:rPr>
          <w:instrText xml:space="preserve">PAGE   \* MERGEFORMAT</w:instrText>
        </w:r>
        <w:r>
          <w:rPr>
            <w:rFonts w:ascii="Times New Roman" w:hAnsi="Times New Roman"/>
            <w:b/>
            <w:bCs/>
            <w:sz w:val="21"/>
            <w:szCs w:val="21"/>
          </w:rPr>
          <w:fldChar w:fldCharType="separate"/>
        </w:r>
        <w:r>
          <w:rPr>
            <w:rFonts w:ascii="Times New Roman" w:hAnsi="Times New Roman"/>
            <w:b/>
            <w:bCs/>
            <w:sz w:val="21"/>
            <w:szCs w:val="21"/>
            <w:lang w:val="zh-CN"/>
          </w:rPr>
          <w:t>2</w:t>
        </w:r>
        <w:r>
          <w:rPr>
            <w:rFonts w:ascii="Times New Roman" w:hAnsi="Times New Roman"/>
            <w:b/>
            <w:bCs/>
            <w:sz w:val="21"/>
            <w:szCs w:val="21"/>
          </w:rPr>
          <w:fldChar w:fldCharType="end"/>
        </w:r>
      </w:p>
    </w:sdtContent>
  </w:sdt>
  <w:p w14:paraId="3E6EC880">
    <w:pPr>
      <w:pStyle w:val="13"/>
      <w:tabs>
        <w:tab w:val="clear" w:pos="4153"/>
      </w:tabs>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A8E5">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A9662">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F446">
    <w:pPr>
      <w:ind w:left="56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95A7E">
    <w:pPr>
      <w:pStyle w:val="14"/>
      <w:pBdr>
        <w:bottom w:val="none" w:color="auto" w:sz="0" w:space="1"/>
      </w:pBdr>
      <w:tabs>
        <w:tab w:val="left" w:pos="6527"/>
      </w:tabs>
      <w:ind w:firstLine="360"/>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64B62"/>
    <w:multiLevelType w:val="singleLevel"/>
    <w:tmpl w:val="92064B62"/>
    <w:lvl w:ilvl="0" w:tentative="0">
      <w:start w:val="2"/>
      <w:numFmt w:val="chineseCounting"/>
      <w:suff w:val="nothing"/>
      <w:lvlText w:val="%1、"/>
      <w:lvlJc w:val="left"/>
      <w:rPr>
        <w:rFonts w:hint="eastAsia"/>
      </w:rPr>
    </w:lvl>
  </w:abstractNum>
  <w:abstractNum w:abstractNumId="1">
    <w:nsid w:val="E54AAB71"/>
    <w:multiLevelType w:val="singleLevel"/>
    <w:tmpl w:val="E54AAB71"/>
    <w:lvl w:ilvl="0" w:tentative="0">
      <w:start w:val="2"/>
      <w:numFmt w:val="chineseCounting"/>
      <w:suff w:val="nothing"/>
      <w:lvlText w:val="%1、"/>
      <w:lvlJc w:val="left"/>
      <w:rPr>
        <w:rFonts w:hint="eastAsia"/>
      </w:rPr>
    </w:lvl>
  </w:abstractNum>
  <w:abstractNum w:abstractNumId="2">
    <w:nsid w:val="2580C9A6"/>
    <w:multiLevelType w:val="singleLevel"/>
    <w:tmpl w:val="2580C9A6"/>
    <w:lvl w:ilvl="0" w:tentative="0">
      <w:start w:val="3"/>
      <w:numFmt w:val="decimal"/>
      <w:lvlText w:val="%1."/>
      <w:lvlJc w:val="left"/>
      <w:pPr>
        <w:tabs>
          <w:tab w:val="left" w:pos="312"/>
        </w:tabs>
      </w:pPr>
    </w:lvl>
  </w:abstractNum>
  <w:abstractNum w:abstractNumId="3">
    <w:nsid w:val="468DA384"/>
    <w:multiLevelType w:val="singleLevel"/>
    <w:tmpl w:val="468DA384"/>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5FED0BB"/>
    <w:rsid w:val="0002086E"/>
    <w:rsid w:val="00044E6F"/>
    <w:rsid w:val="00055F5B"/>
    <w:rsid w:val="000D596C"/>
    <w:rsid w:val="000F464E"/>
    <w:rsid w:val="00223B44"/>
    <w:rsid w:val="00365E53"/>
    <w:rsid w:val="003B523E"/>
    <w:rsid w:val="003E321A"/>
    <w:rsid w:val="003F4AC9"/>
    <w:rsid w:val="00405ECE"/>
    <w:rsid w:val="00503570"/>
    <w:rsid w:val="005227C9"/>
    <w:rsid w:val="005A54C3"/>
    <w:rsid w:val="006678A5"/>
    <w:rsid w:val="006A2B9A"/>
    <w:rsid w:val="006D4692"/>
    <w:rsid w:val="00882F05"/>
    <w:rsid w:val="00890DA7"/>
    <w:rsid w:val="00895E99"/>
    <w:rsid w:val="008B56C1"/>
    <w:rsid w:val="00965504"/>
    <w:rsid w:val="00973C4D"/>
    <w:rsid w:val="00A163B2"/>
    <w:rsid w:val="00A400B6"/>
    <w:rsid w:val="00A952E9"/>
    <w:rsid w:val="00AC5BF8"/>
    <w:rsid w:val="00AC6F86"/>
    <w:rsid w:val="00B84F70"/>
    <w:rsid w:val="00B851E8"/>
    <w:rsid w:val="00BE71A6"/>
    <w:rsid w:val="00CE045E"/>
    <w:rsid w:val="00D67AD3"/>
    <w:rsid w:val="00D84877"/>
    <w:rsid w:val="00DD242C"/>
    <w:rsid w:val="00DF0B36"/>
    <w:rsid w:val="00DF3D3D"/>
    <w:rsid w:val="00F33CD2"/>
    <w:rsid w:val="00F44B2F"/>
    <w:rsid w:val="00F6174E"/>
    <w:rsid w:val="02551BD8"/>
    <w:rsid w:val="02D03F7E"/>
    <w:rsid w:val="0314AE73"/>
    <w:rsid w:val="05131F73"/>
    <w:rsid w:val="07D95235"/>
    <w:rsid w:val="0FBB640B"/>
    <w:rsid w:val="144D2565"/>
    <w:rsid w:val="153C1E73"/>
    <w:rsid w:val="17255A22"/>
    <w:rsid w:val="18B90B08"/>
    <w:rsid w:val="19BA1E94"/>
    <w:rsid w:val="19E87054"/>
    <w:rsid w:val="1A900B45"/>
    <w:rsid w:val="1BF7E29E"/>
    <w:rsid w:val="1DCF9CCC"/>
    <w:rsid w:val="1E071E96"/>
    <w:rsid w:val="1F911AA0"/>
    <w:rsid w:val="1FE6D667"/>
    <w:rsid w:val="1FFF2AD5"/>
    <w:rsid w:val="1FFFB173"/>
    <w:rsid w:val="22E03145"/>
    <w:rsid w:val="25354498"/>
    <w:rsid w:val="27932534"/>
    <w:rsid w:val="27934C2A"/>
    <w:rsid w:val="2D7239CA"/>
    <w:rsid w:val="2FCA5C12"/>
    <w:rsid w:val="2FDB5C46"/>
    <w:rsid w:val="339A4C4A"/>
    <w:rsid w:val="33FFFCBA"/>
    <w:rsid w:val="386F6666"/>
    <w:rsid w:val="38FD2BDE"/>
    <w:rsid w:val="396E4BE0"/>
    <w:rsid w:val="3BDDCCB3"/>
    <w:rsid w:val="3BDF39A0"/>
    <w:rsid w:val="3BFCE255"/>
    <w:rsid w:val="3BFFCA34"/>
    <w:rsid w:val="3CBF8B15"/>
    <w:rsid w:val="3DEAB8DF"/>
    <w:rsid w:val="3DFF9871"/>
    <w:rsid w:val="3E7F8060"/>
    <w:rsid w:val="3FB7C1B8"/>
    <w:rsid w:val="3FFDAD5A"/>
    <w:rsid w:val="3FFDFC54"/>
    <w:rsid w:val="3FFF5D34"/>
    <w:rsid w:val="46003033"/>
    <w:rsid w:val="46C7075C"/>
    <w:rsid w:val="4A3F1027"/>
    <w:rsid w:val="4DF7156F"/>
    <w:rsid w:val="4E5B10BD"/>
    <w:rsid w:val="4FBD925D"/>
    <w:rsid w:val="5357497F"/>
    <w:rsid w:val="552827F0"/>
    <w:rsid w:val="57662A9B"/>
    <w:rsid w:val="57F709C8"/>
    <w:rsid w:val="59FF7D7C"/>
    <w:rsid w:val="59FFA9DD"/>
    <w:rsid w:val="5C7A95D3"/>
    <w:rsid w:val="5DA7CEA2"/>
    <w:rsid w:val="5ED82C86"/>
    <w:rsid w:val="5ED864A3"/>
    <w:rsid w:val="5F56F802"/>
    <w:rsid w:val="5F6EF638"/>
    <w:rsid w:val="5FBF4E34"/>
    <w:rsid w:val="5FBFE418"/>
    <w:rsid w:val="5FFBB93F"/>
    <w:rsid w:val="62896ABD"/>
    <w:rsid w:val="64E701A1"/>
    <w:rsid w:val="6667FBCD"/>
    <w:rsid w:val="66F700CE"/>
    <w:rsid w:val="676D7D1A"/>
    <w:rsid w:val="676F8F5A"/>
    <w:rsid w:val="6ACD3D8E"/>
    <w:rsid w:val="6BE88D43"/>
    <w:rsid w:val="6CDF7CDC"/>
    <w:rsid w:val="6DBECB5F"/>
    <w:rsid w:val="6DFD10C2"/>
    <w:rsid w:val="6E5BBC40"/>
    <w:rsid w:val="6E7DEFA4"/>
    <w:rsid w:val="6E960572"/>
    <w:rsid w:val="6EFFF5B8"/>
    <w:rsid w:val="6F663D57"/>
    <w:rsid w:val="6FDA7AFC"/>
    <w:rsid w:val="6FFBB36B"/>
    <w:rsid w:val="71FEFB10"/>
    <w:rsid w:val="723046CC"/>
    <w:rsid w:val="73D43914"/>
    <w:rsid w:val="73E9F9D9"/>
    <w:rsid w:val="75FF3907"/>
    <w:rsid w:val="773CFBAE"/>
    <w:rsid w:val="77AC6C64"/>
    <w:rsid w:val="77B33E0B"/>
    <w:rsid w:val="77BF857F"/>
    <w:rsid w:val="77F94EA6"/>
    <w:rsid w:val="77FFEB9C"/>
    <w:rsid w:val="78B72FC5"/>
    <w:rsid w:val="79323D3B"/>
    <w:rsid w:val="79736D27"/>
    <w:rsid w:val="79DFEA26"/>
    <w:rsid w:val="79FB0A17"/>
    <w:rsid w:val="7A7F4DEE"/>
    <w:rsid w:val="7B775128"/>
    <w:rsid w:val="7BD6BF7F"/>
    <w:rsid w:val="7BDFA59B"/>
    <w:rsid w:val="7BED2843"/>
    <w:rsid w:val="7C9FC6A4"/>
    <w:rsid w:val="7CFF2D64"/>
    <w:rsid w:val="7D7B4AC6"/>
    <w:rsid w:val="7DF5A427"/>
    <w:rsid w:val="7DFE0E69"/>
    <w:rsid w:val="7E1F0A74"/>
    <w:rsid w:val="7ED77CF4"/>
    <w:rsid w:val="7EFB02F1"/>
    <w:rsid w:val="7EFF387C"/>
    <w:rsid w:val="7F1B35D0"/>
    <w:rsid w:val="7F592015"/>
    <w:rsid w:val="7F6B1151"/>
    <w:rsid w:val="7F6FF723"/>
    <w:rsid w:val="7F8D5495"/>
    <w:rsid w:val="7FBF9F25"/>
    <w:rsid w:val="7FD7F919"/>
    <w:rsid w:val="7FDB8322"/>
    <w:rsid w:val="7FFA1A25"/>
    <w:rsid w:val="7FFB0C37"/>
    <w:rsid w:val="7FFD0648"/>
    <w:rsid w:val="7FFE90A0"/>
    <w:rsid w:val="8FFA8B13"/>
    <w:rsid w:val="927FFEF5"/>
    <w:rsid w:val="9BF95663"/>
    <w:rsid w:val="9EB737E1"/>
    <w:rsid w:val="9F37AEEE"/>
    <w:rsid w:val="9FF775FE"/>
    <w:rsid w:val="AFF5F721"/>
    <w:rsid w:val="B1BFD0DA"/>
    <w:rsid w:val="B3F612C2"/>
    <w:rsid w:val="B6B7197A"/>
    <w:rsid w:val="B7D8C820"/>
    <w:rsid w:val="B8DD3B1C"/>
    <w:rsid w:val="B8F72CDA"/>
    <w:rsid w:val="BDBD5D71"/>
    <w:rsid w:val="BDF66EE2"/>
    <w:rsid w:val="BDFBF8DD"/>
    <w:rsid w:val="BEF87F2A"/>
    <w:rsid w:val="BF4F8CA9"/>
    <w:rsid w:val="BF77B24C"/>
    <w:rsid w:val="BF7D3C9D"/>
    <w:rsid w:val="BF7E8B84"/>
    <w:rsid w:val="CBF7D738"/>
    <w:rsid w:val="CDFEB8D4"/>
    <w:rsid w:val="CEFF30AC"/>
    <w:rsid w:val="D3CEC454"/>
    <w:rsid w:val="D5FED0BB"/>
    <w:rsid w:val="D6C15FDC"/>
    <w:rsid w:val="D6FEE3CC"/>
    <w:rsid w:val="D78102FF"/>
    <w:rsid w:val="DB5F6095"/>
    <w:rsid w:val="DB7DDF53"/>
    <w:rsid w:val="DCEE903A"/>
    <w:rsid w:val="DDB885F8"/>
    <w:rsid w:val="DDDF4419"/>
    <w:rsid w:val="DDF56551"/>
    <w:rsid w:val="DEDF9B82"/>
    <w:rsid w:val="DEFD4997"/>
    <w:rsid w:val="DF3D94B8"/>
    <w:rsid w:val="DF727345"/>
    <w:rsid w:val="E37BEE43"/>
    <w:rsid w:val="E3BB87B9"/>
    <w:rsid w:val="E3FFE0FB"/>
    <w:rsid w:val="E75DB5AE"/>
    <w:rsid w:val="EA58ECF1"/>
    <w:rsid w:val="EAF3AEFF"/>
    <w:rsid w:val="EBBF2981"/>
    <w:rsid w:val="ECF46458"/>
    <w:rsid w:val="ED73CBA4"/>
    <w:rsid w:val="EDCCC6A5"/>
    <w:rsid w:val="EFFDF94F"/>
    <w:rsid w:val="EFFE30B0"/>
    <w:rsid w:val="F31FC98D"/>
    <w:rsid w:val="F33D001F"/>
    <w:rsid w:val="F533C5BB"/>
    <w:rsid w:val="F5FE76C9"/>
    <w:rsid w:val="F5FF7C6B"/>
    <w:rsid w:val="F6FBE460"/>
    <w:rsid w:val="F7DDE273"/>
    <w:rsid w:val="F7ED1024"/>
    <w:rsid w:val="FA7F2F93"/>
    <w:rsid w:val="FAED5FF8"/>
    <w:rsid w:val="FB3F63C6"/>
    <w:rsid w:val="FB7FD69D"/>
    <w:rsid w:val="FBE68A5C"/>
    <w:rsid w:val="FBFDC27E"/>
    <w:rsid w:val="FC7F062D"/>
    <w:rsid w:val="FCFFD4F4"/>
    <w:rsid w:val="FDBF7408"/>
    <w:rsid w:val="FE9AD007"/>
    <w:rsid w:val="FEFB5A10"/>
    <w:rsid w:val="FEFFD23E"/>
    <w:rsid w:val="FF7E00A3"/>
    <w:rsid w:val="FF7F909F"/>
    <w:rsid w:val="FF97EDCF"/>
    <w:rsid w:val="FFEFD2FD"/>
    <w:rsid w:val="FFF377CF"/>
    <w:rsid w:val="FFF50B09"/>
    <w:rsid w:val="FFF747E8"/>
    <w:rsid w:val="FFF7F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200" w:firstLineChars="200"/>
      <w:jc w:val="both"/>
    </w:pPr>
    <w:rPr>
      <w:rFonts w:ascii="Calibri" w:hAnsi="Calibri" w:eastAsia="方正仿宋_GBK" w:cs="Times New Roman"/>
      <w:color w:val="000000" w:themeColor="text1"/>
      <w:kern w:val="2"/>
      <w:sz w:val="28"/>
      <w:szCs w:val="24"/>
      <w:lang w:val="en-US" w:eastAsia="zh-CN" w:bidi="ar-SA"/>
      <w14:textFill>
        <w14:solidFill>
          <w14:schemeClr w14:val="tx1"/>
        </w14:solidFill>
      </w14:textFill>
    </w:rPr>
  </w:style>
  <w:style w:type="paragraph" w:styleId="3">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4">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basedOn w:val="1"/>
    <w:next w:val="1"/>
    <w:link w:val="21"/>
    <w:semiHidden/>
    <w:unhideWhenUsed/>
    <w:qFormat/>
    <w:uiPriority w:val="0"/>
    <w:pPr>
      <w:keepNext/>
      <w:keepLines/>
      <w:spacing w:before="50" w:beforeLines="50" w:line="360" w:lineRule="auto"/>
      <w:ind w:firstLine="560"/>
      <w:outlineLvl w:val="2"/>
    </w:pPr>
    <w:rPr>
      <w:rFonts w:ascii="Times New Roman" w:hAnsi="Times New Roman" w:eastAsia="Heiti SC Medium"/>
      <w:bCs/>
      <w:sz w:val="24"/>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line="360" w:lineRule="auto"/>
      <w:ind w:firstLine="880"/>
    </w:pPr>
    <w:rPr>
      <w:rFonts w:ascii="Times New Roman" w:hAnsi="Times New Roman" w:eastAsia="宋体"/>
      <w:sz w:val="24"/>
    </w:rPr>
  </w:style>
  <w:style w:type="paragraph" w:styleId="6">
    <w:name w:val="Normal Indent"/>
    <w:basedOn w:val="1"/>
    <w:qFormat/>
    <w:uiPriority w:val="0"/>
    <w:pPr>
      <w:adjustRightInd w:val="0"/>
      <w:spacing w:line="360" w:lineRule="auto"/>
      <w:ind w:firstLine="420"/>
    </w:pPr>
    <w:rPr>
      <w:sz w:val="24"/>
    </w:rPr>
  </w:style>
  <w:style w:type="paragraph" w:styleId="7">
    <w:name w:val="annotation text"/>
    <w:basedOn w:val="1"/>
    <w:link w:val="25"/>
    <w:unhideWhenUsed/>
    <w:qFormat/>
    <w:uiPriority w:val="99"/>
    <w:pPr>
      <w:jc w:val="left"/>
    </w:pPr>
  </w:style>
  <w:style w:type="paragraph" w:styleId="8">
    <w:name w:val="Body Text"/>
    <w:basedOn w:val="1"/>
    <w:next w:val="9"/>
    <w:unhideWhenUsed/>
    <w:qFormat/>
    <w:uiPriority w:val="99"/>
    <w:pPr>
      <w:spacing w:after="120"/>
    </w:pPr>
  </w:style>
  <w:style w:type="paragraph" w:styleId="9">
    <w:name w:val="Body Text First Indent"/>
    <w:basedOn w:val="8"/>
    <w:semiHidden/>
    <w:unhideWhenUsed/>
    <w:qFormat/>
    <w:uiPriority w:val="99"/>
    <w:pPr>
      <w:ind w:firstLine="420" w:firstLineChars="100"/>
    </w:pPr>
  </w:style>
  <w:style w:type="paragraph" w:styleId="10">
    <w:name w:val="Body Text Indent"/>
    <w:basedOn w:val="1"/>
    <w:unhideWhenUsed/>
    <w:qFormat/>
    <w:uiPriority w:val="99"/>
    <w:pPr>
      <w:spacing w:after="120"/>
      <w:ind w:left="420" w:leftChars="200"/>
    </w:pPr>
    <w:rPr>
      <w:rFonts w:asciiTheme="minorHAnsi" w:hAnsiTheme="minorHAnsi" w:eastAsiaTheme="minorEastAsia" w:cstheme="minorBidi"/>
    </w:rPr>
  </w:style>
  <w:style w:type="paragraph" w:styleId="11">
    <w:name w:val="Plain Text"/>
    <w:basedOn w:val="1"/>
    <w:qFormat/>
    <w:uiPriority w:val="0"/>
    <w:pPr>
      <w:adjustRightInd w:val="0"/>
      <w:snapToGrid w:val="0"/>
      <w:spacing w:line="360" w:lineRule="auto"/>
    </w:pPr>
    <w:rPr>
      <w:rFonts w:ascii="宋体" w:hAnsi="Courier New" w:eastAsiaTheme="minorEastAsia" w:cstheme="minorBidi"/>
      <w:szCs w:val="22"/>
    </w:rPr>
  </w:style>
  <w:style w:type="paragraph" w:styleId="12">
    <w:name w:val="Date"/>
    <w:basedOn w:val="1"/>
    <w:next w:val="1"/>
    <w:qFormat/>
    <w:uiPriority w:val="99"/>
    <w:pPr>
      <w:ind w:left="100" w:leftChars="2500"/>
    </w:pPr>
    <w:rPr>
      <w:rFonts w:asciiTheme="minorHAnsi" w:hAnsiTheme="minorHAnsi" w:eastAsiaTheme="minorEastAsia" w:cstheme="minorBidi"/>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7"/>
    <w:next w:val="7"/>
    <w:link w:val="26"/>
    <w:qFormat/>
    <w:uiPriority w:val="0"/>
    <w:rPr>
      <w:b/>
      <w:bCs/>
    </w:rPr>
  </w:style>
  <w:style w:type="character" w:styleId="19">
    <w:name w:val="Hyperlink"/>
    <w:basedOn w:val="18"/>
    <w:unhideWhenUsed/>
    <w:qFormat/>
    <w:uiPriority w:val="99"/>
    <w:rPr>
      <w:color w:val="0000FF"/>
      <w:u w:val="single"/>
    </w:rPr>
  </w:style>
  <w:style w:type="character" w:styleId="20">
    <w:name w:val="annotation reference"/>
    <w:basedOn w:val="18"/>
    <w:qFormat/>
    <w:uiPriority w:val="0"/>
    <w:rPr>
      <w:sz w:val="21"/>
      <w:szCs w:val="21"/>
    </w:rPr>
  </w:style>
  <w:style w:type="character" w:customStyle="1" w:styleId="21">
    <w:name w:val="标题 3 字符"/>
    <w:link w:val="5"/>
    <w:semiHidden/>
    <w:qFormat/>
    <w:uiPriority w:val="9"/>
    <w:rPr>
      <w:rFonts w:ascii="Times New Roman" w:hAnsi="Times New Roman" w:eastAsia="Heiti SC Medium" w:cs="Times New Roman"/>
      <w:bCs/>
      <w:kern w:val="2"/>
      <w:sz w:val="24"/>
      <w:szCs w:val="32"/>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列出段落1"/>
    <w:basedOn w:val="1"/>
    <w:qFormat/>
    <w:uiPriority w:val="34"/>
    <w:pPr>
      <w:spacing w:line="276" w:lineRule="auto"/>
      <w:ind w:firstLine="420"/>
    </w:pPr>
    <w:rPr>
      <w:rFonts w:ascii="Times New Roman" w:hAnsi="Times New Roman" w:eastAsia="宋体"/>
      <w:color w:val="auto"/>
      <w:sz w:val="21"/>
    </w:rPr>
  </w:style>
  <w:style w:type="paragraph" w:customStyle="1" w:styleId="24">
    <w:name w:val="表格内字体"/>
    <w:basedOn w:val="1"/>
    <w:autoRedefine/>
    <w:qFormat/>
    <w:uiPriority w:val="0"/>
    <w:pPr>
      <w:spacing w:line="240" w:lineRule="auto"/>
      <w:ind w:firstLine="0" w:firstLineChars="0"/>
      <w:jc w:val="center"/>
    </w:pPr>
    <w:rPr>
      <w:rFonts w:hint="eastAsia"/>
      <w:sz w:val="21"/>
    </w:rPr>
  </w:style>
  <w:style w:type="character" w:customStyle="1" w:styleId="25">
    <w:name w:val="批注文字 字符"/>
    <w:basedOn w:val="18"/>
    <w:link w:val="7"/>
    <w:qFormat/>
    <w:uiPriority w:val="99"/>
    <w:rPr>
      <w:rFonts w:ascii="Calibri" w:hAnsi="Calibri" w:eastAsia="方正仿宋_GBK"/>
      <w:color w:val="000000" w:themeColor="text1"/>
      <w:kern w:val="2"/>
      <w:sz w:val="28"/>
      <w:szCs w:val="24"/>
      <w14:textFill>
        <w14:solidFill>
          <w14:schemeClr w14:val="tx1"/>
        </w14:solidFill>
      </w14:textFill>
    </w:rPr>
  </w:style>
  <w:style w:type="character" w:customStyle="1" w:styleId="26">
    <w:name w:val="批注主题 字符"/>
    <w:basedOn w:val="25"/>
    <w:link w:val="16"/>
    <w:qFormat/>
    <w:uiPriority w:val="0"/>
    <w:rPr>
      <w:rFonts w:ascii="Calibri" w:hAnsi="Calibri" w:eastAsia="方正仿宋_GBK"/>
      <w:b/>
      <w:bCs/>
      <w:color w:val="000000" w:themeColor="text1"/>
      <w:kern w:val="2"/>
      <w:sz w:val="28"/>
      <w:szCs w:val="24"/>
      <w14:textFill>
        <w14:solidFill>
          <w14:schemeClr w14:val="tx1"/>
        </w14:solidFill>
      </w14:textFill>
    </w:rPr>
  </w:style>
  <w:style w:type="paragraph" w:customStyle="1" w:styleId="27">
    <w:name w:val="图例"/>
    <w:basedOn w:val="1"/>
    <w:qFormat/>
    <w:uiPriority w:val="0"/>
    <w:pPr>
      <w:spacing w:before="120" w:after="120" w:line="360" w:lineRule="auto"/>
      <w:jc w:val="center"/>
    </w:pPr>
    <w:rPr>
      <w:rFonts w:eastAsia="仿宋_GB2312"/>
      <w:b/>
      <w:sz w:val="24"/>
    </w:rPr>
  </w:style>
  <w:style w:type="paragraph" w:styleId="28">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71deb1ba-91d4-4527-931d-7482d5825e3a</errorID>
      <errorWord>00时</errorWord>
      <group>L1_Word</group>
      <groupName>字词问题</groupName>
      <ability>L2_Typo</ability>
      <abilityName>字词错误</abilityName>
      <candidateList>
        <item>00</item>
      </candidateList>
      <explain/>
      <paraID>35B61E9A</paraID>
      <start>25</start>
      <end>28</end>
      <status>unmodified</status>
      <modifiedWord/>
      <trackRevisions>false</trackRevisions>
    </reviewItem>
    <reviewItem>
      <errorID>92006703-3d29-4bc6-a87f-ad87e37c84ea</errorID>
      <errorWord>30时</errorWord>
      <group>L1_Word</group>
      <groupName>字词问题</groupName>
      <ability>L2_Typo</ability>
      <abilityName>字词错误</abilityName>
      <candidateList>
        <item>30</item>
      </candidateList>
      <explain/>
      <paraID>3816BA99</paraID>
      <start>24</start>
      <end>27</end>
      <status>unmodified</status>
      <modifiedWord/>
      <trackRevisions>false</trackRevisions>
    </reviewItem>
    <reviewItem>
      <errorID>757c12f4-f2a6-4fb6-8177-d60979b5fae4</errorID>
      <errorWord>30时</errorWord>
      <group>L1_Word</group>
      <groupName>字词问题</groupName>
      <ability>L2_Typo</ability>
      <abilityName>字词错误</abilityName>
      <candidateList>
        <item>30</item>
      </candidateList>
      <explain/>
      <paraID>5E65CF2E</paraID>
      <start>20</start>
      <end>23</end>
      <status>unmodified</status>
      <modifiedWord/>
      <trackRevisions>false</trackRevisions>
    </reviewItem>
    <reviewItem>
      <errorID>82dcfacb-30b2-418f-9dbc-1a034eafd5e7</errorID>
      <errorWord>需求具体</errorWord>
      <group>L1_AI</group>
      <groupName>深度校对</groupName>
      <ability>L2_AI_Grammar</ability>
      <abilityName>语法纠错</abilityName>
      <candidateList>
        <item>需求</item>
      </candidateList>
      <explain/>
      <paraID>583BE705</paraID>
      <start>12</start>
      <end>14</end>
      <status>modified</status>
      <modifiedWord>需求</modifiedWord>
      <trackRevisions>false</trackRevisions>
    </reviewItem>
    <reviewItem>
      <errorID>f554cd83-5037-459d-ad4c-ff7bc57e45bb</errorID>
      <errorWord>，其中</errorWord>
      <group>L1_AI</group>
      <groupName>深度校对</groupName>
      <ability>L2_AI_Word</ability>
      <abilityName>字词纠错</abilityName>
      <candidateList>
        <item>。其中，</item>
      </candidateList>
      <explain/>
      <paraID> 187D838</paraID>
      <start>81</start>
      <end>85</end>
      <status>modified</status>
      <modifiedWord>。其中，</modifiedWord>
      <trackRevisions>false</trackRevisions>
    </reviewItem>
    <reviewItem>
      <errorID>a77f6f7e-7d3b-4eb7-9220-c851b98e03f9</errorID>
      <errorWord>可选项等</errorWord>
      <group>L1_AI</group>
      <groupName>深度校对</groupName>
      <ability>L2_AI_Word</ability>
      <abilityName>字词纠错</abilityName>
      <candidateList>
        <item>可选项</item>
      </candidateList>
      <explain/>
      <paraID> 187D838</paraID>
      <start>147</start>
      <end>150</end>
      <status>modified</status>
      <modifiedWord>可选项</modifiedWord>
      <trackRevisions>false</trackRevisions>
    </reviewItem>
    <reviewItem>
      <errorID>9237b62b-99aa-4585-9fde-ed846f5b4c69</errorID>
      <errorWord>，</errorWord>
      <group>L1_AI</group>
      <groupName>深度校对</groupName>
      <ability>L2_AI_Punc</ability>
      <abilityName>标点纠错</abilityName>
      <candidateList>
        <item>、</item>
      </candidateList>
      <explain/>
      <paraID>2259D9F0</paraID>
      <start>50</start>
      <end>51</end>
      <status>modified</status>
      <modifiedWord>、</modifiedWord>
      <trackRevisions>false</trackRevisions>
    </reviewItem>
    <reviewItem>
      <errorID>da5105fd-235c-45f8-84d8-663808850f61</errorID>
      <errorWord>，</errorWord>
      <group>L1_AI</group>
      <groupName>深度校对</groupName>
      <ability>L2_AI_Punc</ability>
      <abilityName>标点纠错</abilityName>
      <candidateList>
        <item>、</item>
      </candidateList>
      <explain/>
      <paraID>2259D9F0</paraID>
      <start>63</start>
      <end>64</end>
      <status>unmodified</status>
      <modifiedWord/>
      <trackRevisions>false</trackRevisions>
    </reviewItem>
    <reviewItem>
      <errorID>5f1a88b3-82d6-4306-966c-85bc0c8e493b</errorID>
      <errorWord>，</errorWord>
      <group>L1_AI</group>
      <groupName>深度校对</groupName>
      <ability>L2_AI_Punc</ability>
      <abilityName>标点纠错</abilityName>
      <candidateList>
        <item>、</item>
      </candidateList>
      <explain/>
      <paraID>2259D9F0</paraID>
      <start>73</start>
      <end>74</end>
      <status>modified</status>
      <modifiedWord>、</modifiedWord>
      <trackRevisions>false</trackRevisions>
    </reviewItem>
    <reviewItem>
      <errorID>22597aae-14a8-48d9-aefb-1a34de9e5c70</errorID>
      <errorWord>外，</errorWord>
      <group>L1_AI</group>
      <groupName>深度校对</groupName>
      <ability>L2_AI_Grammar</ability>
      <abilityName>语法纠错</abilityName>
      <candidateList>
        <item>，还包括检查</item>
      </candidateList>
      <explain/>
      <paraID>2259D9F0</paraID>
      <start>83</start>
      <end>89</end>
      <status>modified</status>
      <modifiedWord>，还包括检查</modifiedWord>
      <trackRevisions>false</trackRevisions>
    </reviewItem>
    <reviewItem>
      <errorID>b1da9c42-a73e-4204-8038-46635f614847</errorID>
      <errorWord>将抽</errorWord>
      <group>L1_AI</group>
      <groupName>深度校对</groupName>
      <ability>L2_AI_Word</ability>
      <abilityName>字词纠错</abilityName>
      <candidateList>
        <item>将</item>
      </candidateList>
      <explain/>
      <paraID>2259D9F0</paraID>
      <start>115</start>
      <end>116</end>
      <status>modified</status>
      <modifiedWord>将</modifiedWord>
      <trackRevisions>false</trackRevisions>
    </reviewItem>
    <reviewItem>
      <errorID>c37c89ac-ccec-4710-8786-65a0c0b14074</errorID>
      <errorWord>泄露</errorWord>
      <group>L1_Word</group>
      <groupName>字词问题</groupName>
      <ability>L2_Typo</ability>
      <abilityName>字词错误</abilityName>
      <candidateList>
        <item>泄漏</item>
      </candidateList>
      <explain/>
      <paraID>18649F3A</paraID>
      <start>117</start>
      <end>119</end>
      <status>modified</status>
      <modifiedWord>泄漏</modifiedWord>
      <trackRevisions>false</trackRevisions>
    </reviewItem>
    <reviewItem>
      <errorID>ea3c959a-b4d8-4674-8c27-8aa023d61870</errorID>
      <errorWord>，</errorWord>
      <group>L1_AI</group>
      <groupName>深度校对</groupName>
      <ability>L2_AI_Punc</ability>
      <abilityName>标点纠错</abilityName>
      <candidateList>
        <item>；</item>
      </candidateList>
      <explain/>
      <paraID>250ADC1E</paraID>
      <start>29</start>
      <end>30</end>
      <status>modified</status>
      <modifiedWord>；</modifiedWord>
      <trackRevisions>false</trackRevisions>
    </reviewItem>
    <reviewItem>
      <errorID>02bae84a-39d7-4885-ab8d-291379416446</errorID>
      <errorWord>识别</errorWord>
      <group>L1_AI</group>
      <groupName>深度校对</groupName>
      <ability>L2_AI_Grammar</ability>
      <abilityName>语法纠错</abilityName>
      <candidateList>
        <item>进行识别</item>
      </candidateList>
      <explain/>
      <paraID>250ADC1E</paraID>
      <start>35</start>
      <end>39</end>
      <status>modified</status>
      <modifiedWord>进行识别</modifiedWord>
      <trackRevisions>false</trackRevisions>
    </reviewItem>
    <reviewItem>
      <errorID>87cfe3ac-053f-4493-9d2a-e0a6b2bcbe02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2EB42709</paraID>
      <start>0</start>
      <end>2</end>
      <status>modified</status>
      <modifiedWord>1.</modifiedWord>
      <trackRevisions>false</trackRevisions>
    </reviewItem>
    <reviewItem>
      <errorID>ee8cefb1-b6f5-4a7f-96da-42b281d2cbe8</errorID>
      <errorWord>2</errorWord>
      <group>L1_AI</group>
      <groupName>深度校对</groupName>
      <ability>L2_AI_Word</ability>
      <abilityName>字词纠错</abilityName>
      <candidateList>
        <item> 2</item>
      </candidateList>
      <explain/>
      <paraID>2EB42709</paraID>
      <start>19</start>
      <end>21</end>
      <status>modified</status>
      <modifiedWord> 2</modifiedWord>
      <trackRevisions>false</trackRevisions>
    </reviewItem>
    <reviewItem>
      <errorID>7ee9f53a-128c-4a5c-a3ef-f30d46b0fec8</errorID>
      <errorWord>名</errorWord>
      <group>L1_AI</group>
      <groupName>深度校对</groupName>
      <ability>L2_AI_Word</ability>
      <abilityName>字词纠错</abilityName>
      <candidateList>
        <item> 名</item>
      </candidateList>
      <explain/>
      <paraID>2EB42709</paraID>
      <start>21</start>
      <end>23</end>
      <status>modified</status>
      <modifiedWord> 名</modifiedWord>
      <trackRevisions>false</trackRevisions>
    </reviewItem>
    <reviewItem>
      <errorID>7d2f2709-414b-4350-a21a-f6ae7a2e7c8e</errorID>
      <errorWord>7</errorWord>
      <group>L1_AI</group>
      <groupName>深度校对</groupName>
      <ability>L2_AI_Word</ability>
      <abilityName>字词纠错</abilityName>
      <candidateList>
        <item> 7</item>
      </candidateList>
      <explain/>
      <paraID>2EB42709</paraID>
      <start>30</start>
      <end>32</end>
      <status>modified</status>
      <modifiedWord> 7</modifiedWord>
      <trackRevisions>false</trackRevisions>
    </reviewItem>
    <reviewItem>
      <errorID>fcde22dc-4c54-4269-81a9-8b096d9c5e19</errorID>
      <errorWord>小时</errorWord>
      <group>L1_AI</group>
      <groupName>深度校对</groupName>
      <ability>L2_AI_Word</ability>
      <abilityName>字词纠错</abilityName>
      <candidateList>
        <item> 小时</item>
      </candidateList>
      <explain/>
      <paraID>2EB42709</paraID>
      <start>35</start>
      <end>38</end>
      <status>modified</status>
      <modifiedWord> 小时</modifiedWord>
      <trackRevisions>false</trackRevisions>
    </reviewItem>
    <reviewItem>
      <errorID>b17b0b59-1c7b-4b60-a274-3ef30e0286fa</errorID>
      <errorWord>15</errorWord>
      <group>L1_AI</group>
      <groupName>深度校对</groupName>
      <ability>L2_AI_Word</ability>
      <abilityName>字词纠错</abilityName>
      <candidateList>
        <item> 15</item>
      </candidateList>
      <explain/>
      <paraID>2EB42709</paraID>
      <start>46</start>
      <end>49</end>
      <status>modified</status>
      <modifiedWord> 15</modifiedWord>
      <trackRevisions>false</trackRevisions>
    </reviewItem>
    <reviewItem>
      <errorID>db87a7ba-b6de-4cf4-945c-10bfed498f34</errorID>
      <errorWord>分钟</errorWord>
      <group>L1_AI</group>
      <groupName>深度校对</groupName>
      <ability>L2_AI_Word</ability>
      <abilityName>字词纠错</abilityName>
      <candidateList>
        <item> 分钟</item>
      </candidateList>
      <explain/>
      <paraID>2EB42709</paraID>
      <start>49</start>
      <end>52</end>
      <status>modified</status>
      <modifiedWord> 分钟</modifiedWord>
      <trackRevisions>false</trackRevisions>
    </reviewItem>
    <reviewItem>
      <errorID>232bcaa9-8ff7-4589-8c10-26e5288cf07e</errorID>
      <errorWord>分钟</errorWord>
      <group>L1_AI</group>
      <groupName>深度校对</groupName>
      <ability>L2_AI_Word</ability>
      <abilityName>字词纠错</abilityName>
      <candidateList>
        <item> 分钟</item>
      </candidateList>
      <explain/>
      <paraID>2EB42709</paraID>
      <start>58</start>
      <end>61</end>
      <status>modified</status>
      <modifiedWord> 分钟</modifiedWord>
      <trackRevisions>false</trackRevisions>
    </reviewItem>
    <reviewItem>
      <errorID>7139dea1-30e0-41f4-a9db-19ca47f0b620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4CB65020</paraID>
      <start>0</start>
      <end>2</end>
      <status>modified</status>
      <modifiedWord>2.</modifiedWord>
      <trackRevisions>false</trackRevisions>
    </reviewItem>
    <reviewItem>
      <errorID>4e03ff41-a719-468c-81fd-43331b2712cf</errorID>
      <errorWord>方</errorWord>
      <group>L1_Word</group>
      <groupName>字词问题</groupName>
      <ability>L2_Typo</ability>
      <abilityName>字词错误</abilityName>
      <candidateList>
        <item>方性</item>
      </candidateList>
      <explain/>
      <paraID>4CB65020</paraID>
      <start>21</start>
      <end>23</end>
      <status>modified</status>
      <modifiedWord>方性</modifiedWord>
      <trackRevisions>false</trackRevisions>
    </reviewItem>
    <reviewItem>
      <errorID>9430e969-4faa-43d7-ab4d-cbb0162dae8c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2C1C489F</paraID>
      <start>0</start>
      <end>2</end>
      <status>modified</status>
      <modifiedWord>1.</modifiedWord>
      <trackRevisions>false</trackRevisions>
    </reviewItem>
    <reviewItem>
      <errorID>3348dff8-86d2-4f07-8d46-b59eedcfd26c</errorID>
      <errorWord>含</errorWord>
      <group>L1_AI</group>
      <groupName>深度校对</groupName>
      <ability>L2_AI_Word</ability>
      <abilityName>字词纠错</abilityName>
      <candidateList>
        <item>包括</item>
      </candidateList>
      <explain/>
      <paraID>2C1C489F</paraID>
      <start>19</start>
      <end>21</end>
      <status>modified</status>
      <modifiedWord>包括</modifiedWord>
      <trackRevisions>false</trackRevisions>
    </reviewItem>
    <reviewItem>
      <errorID>4d4c8013-656f-4816-9a66-c40514d1af19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541ACB42</paraID>
      <start>0</start>
      <end>2</end>
      <status>modified</status>
      <modifiedWord>2.</modifiedWord>
      <trackRevisions>false</trackRevisions>
    </reviewItem>
    <reviewItem>
      <errorID>77b006cf-d97f-4f8f-84a1-0a9969bec9c5</errorID>
      <errorWord>及漏洞、</errorWord>
      <group>L1_AI</group>
      <groupName>深度校对</groupName>
      <ability>L2_AI_Word</ability>
      <abilityName>字词纠错</abilityName>
      <candidateList>
        <item>、漏洞及</item>
      </candidateList>
      <explain/>
      <paraID>541ACB42</paraID>
      <start>17</start>
      <end>21</end>
      <status>modified</status>
      <modifiedWord>、漏洞及</modifiedWord>
      <trackRevisions>false</trackRevisions>
    </reviewItem>
    <reviewItem>
      <errorID>f65e0958-b23e-4513-a2d8-dd4124cf1ac4</errorID>
      <errorWord>及</errorWord>
      <group>L1_AI</group>
      <groupName>深度校对</groupName>
      <ability>L2_AI_Word</ability>
      <abilityName>字词纠错</abilityName>
      <candidateList>
        <item>和</item>
      </candidateList>
      <explain/>
      <paraID>73B98E80</paraID>
      <start>58</start>
      <end>59</end>
      <status>modified</status>
      <modifiedWord>和</modifiedWord>
      <trackRevisions>false</trackRevisions>
    </reviewItem>
    <reviewItem>
      <errorID>67d98b83-830b-4704-b26f-1ba1d2d523f6</errorID>
      <errorWord>对</errorWord>
      <group>L1_AI</group>
      <groupName>深度校对</groupName>
      <ability>L2_AI_Grammar</ability>
      <abilityName>语法纠错</abilityName>
      <candidateList>
        <item>等方面对</item>
      </candidateList>
      <explain/>
      <paraID>73B98E80</paraID>
      <start>63</start>
      <end>67</end>
      <status>modified</status>
      <modifiedWord>等方面对</modifiedWord>
      <trackRevisions>false</trackRevisions>
    </reviewItem>
    <reviewItem>
      <errorID>5d25106e-14c3-46fe-8f0c-9b19c1a95bc9</errorID>
      <errorWord>进行安全</errorWord>
      <group>L1_AI</group>
      <groupName>深度校对</groupName>
      <ability>L2_AI_Grammar</ability>
      <abilityName>语法纠错</abilityName>
      <candidateList>
        <item>进行</item>
      </candidateList>
      <explain/>
      <paraID>73B98E80</paraID>
      <start>77</start>
      <end>79</end>
      <status>modified</status>
      <modifiedWord>进行</modifiedWord>
      <trackRevisions>false</trackRevisions>
    </reviewItem>
    <reviewItem>
      <errorID>c3297d06-1025-4769-b69c-c81944d102ac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2F2DE445</paraID>
      <start>0</start>
      <end>2</end>
      <status>modified</status>
      <modifiedWord>1.</modifiedWord>
      <trackRevisions>false</trackRevisions>
    </reviewItem>
    <reviewItem>
      <errorID>f6874a9f-11eb-4a17-a86f-18b03c745e43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E9AFEEA</paraID>
      <start>0</start>
      <end>2</end>
      <status>modified</status>
      <modifiedWord>2.</modifiedWord>
      <trackRevisions>false</trackRevisions>
    </reviewItem>
    <reviewItem>
      <errorID>8ae87802-84cb-4ac6-8f5a-0c8b2fe10205</errorID>
      <errorWord>及</errorWord>
      <group>L1_AI</group>
      <groupName>深度校对</groupName>
      <ability>L2_AI_Word</ability>
      <abilityName>字词纠错</abilityName>
      <candidateList>
        <item>和</item>
      </candidateList>
      <explain/>
      <paraID> E9AFEEA</paraID>
      <start>9</start>
      <end>10</end>
      <status>modified</status>
      <modifiedWord>和</modifiedWord>
      <trackRevisions>false</trackRevisions>
    </reviewItem>
    <reviewItem>
      <errorID>f05423e1-4755-4145-a8f9-c7592192d92a</errorID>
      <errorWord>泄露</errorWord>
      <group>L1_Word</group>
      <groupName>字词问题</groupName>
      <ability>L2_Typo</ability>
      <abilityName>字词错误</abilityName>
      <candidateList>
        <item>泄漏</item>
      </candidateList>
      <explain>存在发音相同字词的误用。</explain>
      <paraID> E9AFEEA</paraID>
      <start>10</start>
      <end>12</end>
      <status>modified</status>
      <modifiedWord>泄漏</modifiedWord>
      <trackRevisions>false</trackRevisions>
    </reviewItem>
    <reviewItem>
      <errorID>0b7c9934-a846-4d1c-9a6c-db04e7437719</errorID>
      <errorWord>分级</errorWord>
      <group>L1_AI</group>
      <groupName>深度校对</groupName>
      <ability>L2_AI_Grammar</ability>
      <abilityName>语法纠错</abilityName>
      <candidateList>
        <item>进行分级</item>
      </candidateList>
      <explain/>
      <paraID> E9AFEEA</paraID>
      <start>14</start>
      <end>18</end>
      <status>modified</status>
      <modifiedWord>进行分级</modifiedWord>
      <trackRevisions>false</trackRevisions>
    </reviewItem>
    <reviewItem>
      <errorID>95dce5a2-8a81-4b2f-8678-7c0d0e9e0477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2A9C3A88</paraID>
      <start>0</start>
      <end>2</end>
      <status>modified</status>
      <modifiedWord>1.</modifiedWord>
      <trackRevisions>false</trackRevisions>
    </reviewItem>
    <reviewItem>
      <errorID>12d96b61-fc4f-42af-abd2-3882b03c2247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467E4108</paraID>
      <start>0</start>
      <end>2</end>
      <status>modified</status>
      <modifiedWord>2.</modifiedWord>
      <trackRevisions>false</trackRevisions>
    </reviewItem>
    <reviewItem>
      <errorID>f8142c38-9cf4-45a6-b987-16569732e503</errorID>
      <errorWord>+</errorWord>
      <group>L1_AI</group>
      <groupName>深度校对</groupName>
      <ability>L2_AI_Word</ability>
      <abilityName>字词纠错</abilityName>
      <candidateList>
        <item>与</item>
      </candidateList>
      <explain/>
      <paraID>467E4108</paraID>
      <start>6</start>
      <end>7</end>
      <status>modified</status>
      <modifiedWord>与</modifiedWord>
      <trackRevisions>false</trackRevisions>
    </reviewItem>
    <reviewItem>
      <errorID>a9859d3e-87c4-4aad-a522-f273bd5ef954</errorID>
      <errorWord>结合</errorWord>
      <group>L1_AI</group>
      <groupName>深度校对</groupName>
      <ability>L2_AI_Grammar</ability>
      <abilityName>语法纠错</abilityName>
      <candidateList>
        <item>相结合的</item>
      </candidateList>
      <explain/>
      <paraID>467E4108</paraID>
      <start>9</start>
      <end>13</end>
      <status>modified</status>
      <modifiedWord>相结合的</modifiedWord>
      <trackRevisions>false</trackRevisions>
    </reviewItem>
    <reviewItem>
      <errorID>d78cec71-907d-4dfe-9d6a-c4a2fc111938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7491B0A3</paraID>
      <start>0</start>
      <end>2</end>
      <status>modified</status>
      <modifiedWord>3.</modifiedWord>
      <trackRevisions>false</trackRevisions>
    </reviewItem>
    <reviewItem>
      <errorID>b4bd8e19-4dda-4590-8ff3-29b667301357</errorID>
      <errorWord>泄露</errorWord>
      <group>L1_Word</group>
      <groupName>字词问题</groupName>
      <ability>L2_Typo</ability>
      <abilityName>字词错误</abilityName>
      <candidateList>
        <item>泄漏</item>
      </candidateList>
      <explain/>
      <paraID>7491B0A3</paraID>
      <start>24</start>
      <end>26</end>
      <status>modified</status>
      <modifiedWord>泄漏</modifiedWord>
      <trackRevisions>false</trackRevisions>
    </reviewItem>
    <reviewItem>
      <errorID>f5e5c6e0-ab9c-4cf4-bf20-3775710ef016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14324A2A</paraID>
      <start>0</start>
      <end>2</end>
      <status>modified</status>
      <modifiedWord>4.</modifiedWord>
      <trackRevisions>false</trackRevisions>
    </reviewItem>
    <reviewItem>
      <errorID>9258058c-5189-417a-9993-0c6518f71fe5</errorID>
      <errorWord>小时</errorWord>
      <group>L1_AI</group>
      <groupName>深度校对</groupName>
      <ability>L2_AI_Word</ability>
      <abilityName>字词纠错</abilityName>
      <candidateList>
        <item> 小时</item>
      </candidateList>
      <explain/>
      <paraID>14324A2A</paraID>
      <start>6</start>
      <end>8</end>
      <status>unmodified</status>
      <modifiedWord/>
      <trackRevisions>false</trackRevisions>
    </reviewItem>
    <reviewItem>
      <errorID>0a15483b-306c-4abe-a6f4-fba7edcbd5fe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2B090AB4</paraID>
      <start>0</start>
      <end>2</end>
      <status>modified</status>
      <modifiedWord>1.</modifiedWord>
      <trackRevisions>false</trackRevisions>
    </reviewItem>
    <reviewItem>
      <errorID>0016af3a-fb21-4747-b6ea-a2bc17cb1f03</errorID>
      <errorWord>划分</errorWord>
      <group>L1_AI</group>
      <groupName>深度校对</groupName>
      <ability>L2_AI_Word</ability>
      <abilityName>字词纠错</abilityName>
      <candidateList>
        <item>进行</item>
      </candidateList>
      <explain/>
      <paraID>2B090AB4</paraID>
      <start>26</start>
      <end>28</end>
      <status>unmodified</status>
      <modifiedWord/>
      <trackRevisions>false</trackRevisions>
    </reviewItem>
    <reviewItem>
      <errorID>f98358e9-6241-4cf9-8278-ea2569ed10d4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14EC68B8</paraID>
      <start>0</start>
      <end>2</end>
      <status>modified</status>
      <modifiedWord>2.</modifiedWord>
      <trackRevisions>false</trackRevisions>
    </reviewItem>
    <reviewItem>
      <errorID>80d14476-d7a7-4ec8-8627-f15e8337fcb0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4C7A1FB4</paraID>
      <start>0</start>
      <end>2</end>
      <status>modified</status>
      <modifiedWord>3.</modifiedWord>
      <trackRevisions>false</trackRevisions>
    </reviewItem>
    <reviewItem>
      <errorID>b423b067-b12c-4aae-bd1f-12038d31c4af</errorID>
      <errorWord>及</errorWord>
      <group>L1_AI</group>
      <groupName>深度校对</groupName>
      <ability>L2_AI_Word</ability>
      <abilityName>字词纠错</abilityName>
      <candidateList>
        <item>和</item>
      </candidateList>
      <explain/>
      <paraID>4C7A1FB4</paraID>
      <start>10</start>
      <end>11</end>
      <status>unmodified</status>
      <modifiedWord/>
      <trackRevisions>false</trackRevisions>
    </reviewItem>
    <reviewItem>
      <errorID>b8f3f95f-6c65-4e16-9990-a5ad7e9ddbb9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7F9816F5</paraID>
      <start>0</start>
      <end>2</end>
      <status>modified</status>
      <modifiedWord>1.</modifiedWord>
      <trackRevisions>false</trackRevisions>
    </reviewItem>
    <reviewItem>
      <errorID>3285ef21-6559-487d-93b5-171b2c6fa9d2</errorID>
      <errorWord>、</errorWord>
      <group>L1_AI</group>
      <groupName>深度校对</groupName>
      <ability>L2_AI_Word</ability>
      <abilityName>字词纠错</abilityName>
      <candidateList>
        <item>和</item>
      </candidateList>
      <explain/>
      <paraID>7F9816F5</paraID>
      <start>12</start>
      <end>13</end>
      <status>modified</status>
      <modifiedWord>和</modifiedWord>
      <trackRevisions>false</trackRevisions>
    </reviewItem>
    <reviewItem>
      <errorID>05d62aa9-1d9a-436e-b0fd-19fab97c43cc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8B5BAE8</paraID>
      <start>0</start>
      <end>2</end>
      <status>modified</status>
      <modifiedWord>2.</modifiedWord>
      <trackRevisions>false</trackRevisions>
    </reviewItem>
    <reviewItem>
      <errorID>4d34b870-f895-4cf6-b028-656d4b3a4eec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3ECFFA2C</paraID>
      <start>0</start>
      <end>2</end>
      <status>modified</status>
      <modifiedWord>3.</modifiedWord>
      <trackRevisions>false</trackRevisions>
    </reviewItem>
    <reviewItem>
      <errorID>1c2851e8-ef3c-4744-bb3b-830c8021fb02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2AA5755</paraID>
      <start>0</start>
      <end>2</end>
      <status>modified</status>
      <modifiedWord>1.</modifiedWord>
      <trackRevisions>false</trackRevisions>
    </reviewItem>
    <reviewItem>
      <errorID>973eeacc-12a5-4f3e-880a-32aa92dfa57b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5BE51911</paraID>
      <start>0</start>
      <end>2</end>
      <status>modified</status>
      <modifiedWord>2.</modifiedWord>
      <trackRevisions>false</trackRevisions>
    </reviewItem>
    <reviewItem>
      <errorID>026a2230-1f9d-41bd-9cd0-1abfbdb527f3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7EFF7C10</paraID>
      <start>0</start>
      <end>2</end>
      <status>modified</status>
      <modifiedWord>3.</modifiedWord>
      <trackRevisions>false</trackRevisions>
    </reviewItem>
    <reviewItem>
      <errorID>bc9636c8-8b18-440a-8c2f-11af7e9d2099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2A476F52</paraID>
      <start>0</start>
      <end>2</end>
      <status>modified</status>
      <modifiedWord>4.</modifiedWord>
      <trackRevisions>false</trackRevisions>
    </reviewItem>
    <reviewItem>
      <errorID>b80eb4ef-9198-480a-9876-64585a2eab60</errorID>
      <errorWord>》</errorWord>
      <group>L1_Word</group>
      <groupName>字词问题</groupName>
      <ability>L2_Typo</ability>
      <abilityName>字词错误</abilityName>
      <candidateList>
        <item>》和</item>
      </candidateList>
      <explain/>
      <paraID>7D6C9585</paraID>
      <start>37</start>
      <end>39</end>
      <status>modified</status>
      <modifiedWord>》和</modifiedWord>
      <trackRevisions>false</trackRevisions>
    </reviewItem>
    <reviewItem>
      <errorID>de63d5ee-516a-43d2-80dc-c0b464b0c585</errorID>
      <errorWord>)</errorWord>
      <group>L1_Format</group>
      <groupName>格式问题</groupName>
      <ability>L2_HalfPunc</ability>
      <abilityName>全半角检查</abilityName>
      <candidateList>
        <item>）</item>
      </candidateList>
      <explain>文本全半角错误。</explain>
      <paraID>7D6C9585</paraID>
      <start>77</start>
      <end>78</end>
      <status>modified</status>
      <modifiedWord>）</modifiedWord>
      <trackRevisions>false</trackRevisions>
    </reviewItem>
    <reviewItem>
      <errorID>8642997a-f0e1-4ed2-9d0e-95d2b3453e97</errorID>
      <errorWord>泄露</errorWord>
      <group>L1_Word</group>
      <groupName>字词问题</groupName>
      <ability>L2_Typo</ability>
      <abilityName>字词错误</abilityName>
      <candidateList>
        <item>泄漏</item>
      </candidateList>
      <explain/>
      <paraID>7B2B5DE6</paraID>
      <start>117</start>
      <end>119</end>
      <status>modified</status>
      <modifiedWord>泄漏</modifiedWord>
      <trackRevisions>false</trackRevisions>
    </reviewItem>
    <reviewItem>
      <errorID>dbce68c2-c589-46b1-8efa-b0bc3b105b43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AC8D19D</paraID>
      <start>0</start>
      <end>2</end>
      <status>modified</status>
      <modifiedWord>1.</modifiedWord>
      <trackRevisions>false</trackRevisions>
    </reviewItem>
    <reviewItem>
      <errorID>925deadb-a477-4d23-b1c8-e618141ec87d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551E2171</paraID>
      <start>0</start>
      <end>2</end>
      <status>modified</status>
      <modifiedWord>2.</modifiedWord>
      <trackRevisions>false</trackRevisions>
    </reviewItem>
    <reviewItem>
      <errorID>0bab65a1-6e3f-4da0-bd51-95555593fddd</errorID>
      <errorWord>需具备</errorWord>
      <group>L1_Word</group>
      <groupName>字词问题</groupName>
      <ability>L2_Typo</ability>
      <abilityName>字词错误</abilityName>
      <candidateList>
        <item>须具备</item>
      </candidateList>
      <explain/>
      <paraID>551E2171</paraID>
      <start>6</start>
      <end>9</end>
      <status>modified</status>
      <modifiedWord>须具备</modifiedWord>
      <trackRevisions>false</trackRevisions>
    </reviewItem>
    <reviewItem>
      <errorID>4f2322f6-6b01-44f4-b888-8d993a93941c</errorID>
      <errorWord>，</errorWord>
      <group>L1_Word</group>
      <groupName>字词问题</groupName>
      <ability>L2_Typo</ability>
      <abilityName>字词错误</abilityName>
      <candidateList>
        <item>，具</item>
      </candidateList>
      <explain/>
      <paraID>551E2171</paraID>
      <start>32</start>
      <end>34</end>
      <status>modified</status>
      <modifiedWord>，具</modifiedWord>
      <trackRevisions>false</trackRevisions>
    </reviewItem>
    <reviewItem>
      <errorID>b5bfb1f1-0a52-4499-93d6-877bbf4338cb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7FF5C8BC</paraID>
      <start>0</start>
      <end>2</end>
      <status>modified</status>
      <modifiedWord>3.</modifiedWord>
      <trackRevisions>false</trackRevisions>
    </reviewItem>
    <reviewItem>
      <errorID>606d06ab-1a10-41b1-b465-27f6b1273222</errorID>
      <errorWord>方</errorWord>
      <group>L1_Word</group>
      <groupName>字词问题</groupName>
      <ability>L2_Typo</ability>
      <abilityName>字词错误</abilityName>
      <candidateList>
        <item>方性</item>
      </candidateList>
      <explain/>
      <paraID>7FF5C8BC</paraID>
      <start>21</start>
      <end>23</end>
      <status>modified</status>
      <modifiedWord>方性</modifiedWord>
      <trackRevisions>false</trackRevisions>
    </reviewItem>
    <reviewItem>
      <errorID>265e13b5-c1a2-4f10-aba1-96d9b2f19743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4F991DD</paraID>
      <start>0</start>
      <end>2</end>
      <status>modified</status>
      <modifiedWord>1.</modifiedWord>
      <trackRevisions>false</trackRevisions>
    </reviewItem>
    <reviewItem>
      <errorID>908c49ff-9c46-4caa-a980-0d7d387b7f1c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755D8786</paraID>
      <start>0</start>
      <end>2</end>
      <status>modified</status>
      <modifiedWord>2.</modifiedWord>
      <trackRevisions>false</trackRevisions>
    </reviewItem>
    <reviewItem>
      <errorID>43132284-3e36-43f4-b213-2b901c17efec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6D23AB6E</paraID>
      <start>0</start>
      <end>2</end>
      <status>modified</status>
      <modifiedWord>1.</modifiedWord>
      <trackRevisions>false</trackRevisions>
    </reviewItem>
    <reviewItem>
      <errorID>7fa811ab-4f3e-4ebb-9f93-fdbae66d6719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C748C55</paraID>
      <start>0</start>
      <end>2</end>
      <status>modified</status>
      <modifiedWord>2.</modifiedWord>
      <trackRevisions>false</trackRevisions>
    </reviewItem>
    <reviewItem>
      <errorID>66ae00e7-58a9-4b81-b7b5-9b36c32443d4</errorID>
      <errorWord>泄露</errorWord>
      <group>L1_Word</group>
      <groupName>字词问题</groupName>
      <ability>L2_Typo</ability>
      <abilityName>字词错误</abilityName>
      <candidateList>
        <item>泄漏</item>
      </candidateList>
      <explain>存在发音相同字词的误用。</explain>
      <paraID> C748C55</paraID>
      <start>10</start>
      <end>12</end>
      <status>modified</status>
      <modifiedWord>泄漏</modifiedWord>
      <trackRevisions>false</trackRevisions>
    </reviewItem>
    <reviewItem>
      <errorID>ca2532e0-a72c-4a05-b110-2a125de16f86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31A9F35</paraID>
      <start>0</start>
      <end>2</end>
      <status>modified</status>
      <modifiedWord>1.</modifiedWord>
      <trackRevisions>false</trackRevisions>
    </reviewItem>
    <reviewItem>
      <errorID>97381154-dfd9-49d5-91d7-0931f7371195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2F5A6AA7</paraID>
      <start>0</start>
      <end>2</end>
      <status>modified</status>
      <modifiedWord>2.</modifiedWord>
      <trackRevisions>false</trackRevisions>
    </reviewItem>
    <reviewItem>
      <errorID>bf1abee1-215a-4212-b2d1-da39ae2a587d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3ABA5D91</paraID>
      <start>0</start>
      <end>2</end>
      <status>modified</status>
      <modifiedWord>3.</modifiedWord>
      <trackRevisions>false</trackRevisions>
    </reviewItem>
    <reviewItem>
      <errorID>f1b8d9dd-757b-4bcb-9653-77e46ea10ca8</errorID>
      <errorWord>泄露</errorWord>
      <group>L1_Word</group>
      <groupName>字词问题</groupName>
      <ability>L2_Typo</ability>
      <abilityName>字词错误</abilityName>
      <candidateList>
        <item>泄漏</item>
      </candidateList>
      <explain/>
      <paraID>3ABA5D91</paraID>
      <start>24</start>
      <end>26</end>
      <status>modified</status>
      <modifiedWord>泄漏</modifiedWord>
      <trackRevisions>false</trackRevisions>
    </reviewItem>
    <reviewItem>
      <errorID>ebfb8baf-e744-4912-bf5c-434ead9737ae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1AA44671</paraID>
      <start>0</start>
      <end>2</end>
      <status>modified</status>
      <modifiedWord>4.</modifiedWord>
      <trackRevisions>false</trackRevisions>
    </reviewItem>
    <reviewItem>
      <errorID>35dae95a-47a4-4bb8-8f8c-830c3fe21bcb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5B21A5D0</paraID>
      <start>0</start>
      <end>2</end>
      <status>modified</status>
      <modifiedWord>1.</modifiedWord>
      <trackRevisions>false</trackRevisions>
    </reviewItem>
    <reviewItem>
      <errorID>2fbe1953-a055-40e6-86f9-444943ef83ad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34E2F906</paraID>
      <start>0</start>
      <end>2</end>
      <status>modified</status>
      <modifiedWord>2.</modifiedWord>
      <trackRevisions>false</trackRevisions>
    </reviewItem>
    <reviewItem>
      <errorID>1007489b-89d7-4ad9-aea1-bf1d17464cb8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2783A91</paraID>
      <start>0</start>
      <end>2</end>
      <status>modified</status>
      <modifiedWord>3.</modifiedWord>
      <trackRevisions>false</trackRevisions>
    </reviewItem>
    <reviewItem>
      <errorID>53f2c72c-347c-4229-9920-3b9337e0da11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4F99FDE3</paraID>
      <start>0</start>
      <end>2</end>
      <status>modified</status>
      <modifiedWord>1.</modifiedWord>
      <trackRevisions>false</trackRevisions>
    </reviewItem>
    <reviewItem>
      <errorID>12684be1-fe11-4986-9584-44b4e35cc70a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61ADBAB7</paraID>
      <start>0</start>
      <end>2</end>
      <status>modified</status>
      <modifiedWord>2.</modifiedWord>
      <trackRevisions>false</trackRevisions>
    </reviewItem>
    <reviewItem>
      <errorID>a71f0ab2-faca-49e0-8ae6-3d73c7ff4f72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60E0E2BC</paraID>
      <start>0</start>
      <end>2</end>
      <status>modified</status>
      <modifiedWord>3.</modifiedWord>
      <trackRevisions>false</trackRevisions>
    </reviewItem>
    <reviewItem>
      <errorID>0bde0e58-d381-417a-b5e2-0af4e9dbd5db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2B82D7EF</paraID>
      <start>0</start>
      <end>2</end>
      <status>modified</status>
      <modifiedWord>1.</modifiedWord>
      <trackRevisions>false</trackRevisions>
    </reviewItem>
    <reviewItem>
      <errorID>ad29c939-1807-402b-a643-69cbcfed1a85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55A2C4EA</paraID>
      <start>0</start>
      <end>2</end>
      <status>modified</status>
      <modifiedWord>2.</modifiedWord>
      <trackRevisions>false</trackRevisions>
    </reviewItem>
    <reviewItem>
      <errorID>00913aeb-fce0-434c-ae71-4ca3d8b0e59b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60691DB9</paraID>
      <start>0</start>
      <end>2</end>
      <status>modified</status>
      <modifiedWord>3.</modifiedWord>
      <trackRevisions>false</trackRevisions>
    </reviewItem>
    <reviewItem>
      <errorID>e1862386-0a47-47e2-8716-eeaf9857c86a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3BA61E72</paraID>
      <start>0</start>
      <end>2</end>
      <status>modified</status>
      <modifiedWord>4.</modifiedWord>
      <trackRevisions>false</trackRevisions>
    </reviewItem>
    <reviewItem>
      <errorID>2ccca72f-6455-457c-9805-0596d0b4609e</errorID>
      <errorWord>》</errorWord>
      <group>L1_Word</group>
      <groupName>字词问题</groupName>
      <ability>L2_Typo</ability>
      <abilityName>字词错误</abilityName>
      <candidateList>
        <item>》和</item>
      </candidateList>
      <explain/>
      <paraID>6F358A6B</paraID>
      <start>37</start>
      <end>39</end>
      <status>modified</status>
      <modifiedWord>》和</modifiedWord>
      <trackRevisions>false</trackRevisions>
    </reviewItem>
    <reviewItem>
      <errorID>a589dc15-8c53-4e0d-b55a-53ff6191e1db</errorID>
      <errorWord>)</errorWord>
      <group>L1_Format</group>
      <groupName>格式问题</groupName>
      <ability>L2_HalfPunc</ability>
      <abilityName>全半角检查</abilityName>
      <candidateList>
        <item>）</item>
      </candidateList>
      <explain>文本全半角错误。</explain>
      <paraID>6F358A6B</paraID>
      <start>77</start>
      <end>78</end>
      <status>modified</status>
      <modifiedWord>）</modifiedWord>
      <trackRevisions>false</trackRevisions>
    </reviewItem>
    <reviewItem>
      <errorID>b0983ab1-fca0-45e4-9976-92689d57c22a</errorID>
      <errorWord>（</errorWord>
      <group>L1_Punc</group>
      <groupName>标点问题</groupName>
      <ability>L2_Punc</ability>
      <abilityName>标点符号检查</abilityName>
      <candidateList/>
      <explain>同一形式括号套用。</explain>
      <paraID>4A40CA12</paraID>
      <start>57</start>
      <end>58</end>
      <status>unmodified</status>
      <modifiedWord/>
      <trackRevisions>false</trackRevisions>
    </reviewItem>
    <reviewItem>
      <errorID>7c5c1824-cbba-49b2-8825-c5e8fc3c02cc</errorID>
      <errorWord>）</errorWord>
      <group>L1_Punc</group>
      <groupName>标点问题</groupName>
      <ability>L2_Punc</ability>
      <abilityName>标点符号检查</abilityName>
      <candidateList/>
      <explain>同一形式括号套用。</explain>
      <paraID>4A40CA12</paraID>
      <start>64</start>
      <end>65</end>
      <status>unmodified</status>
      <modifiedWord/>
      <trackRevisions>false</trackRevisions>
    </reviewItem>
    <reviewItem>
      <errorID>1a47d190-1a4e-4d1b-9e42-905d909f23f4</errorID>
      <errorWord>（</errorWord>
      <group>L1_Punc</group>
      <groupName>标点问题</groupName>
      <ability>L2_Punc</ability>
      <abilityName>标点符号检查</abilityName>
      <candidateList/>
      <explain>同一形式括号套用。</explain>
      <paraID>4A40CA12</paraID>
      <start>92</start>
      <end>93</end>
      <status>unmodified</status>
      <modifiedWord/>
      <trackRevisions>false</trackRevisions>
    </reviewItem>
    <reviewItem>
      <errorID>6339d9a8-e991-4be8-ac28-3d988d7e572e</errorID>
      <errorWord>）</errorWord>
      <group>L1_Punc</group>
      <groupName>标点问题</groupName>
      <ability>L2_Punc</ability>
      <abilityName>标点符号检查</abilityName>
      <candidateList/>
      <explain>同一形式括号套用。</explain>
      <paraID>4A40CA12</paraID>
      <start>95</start>
      <end>96</end>
      <status>unmodified</status>
      <modifiedWord/>
      <trackRevisions>false</trackRevisions>
    </reviewItem>
    <reviewItem>
      <errorID>6f51b0df-7ae4-4794-b1fc-959efdd7f131</errorID>
      <errorWord>作</errorWord>
      <group>L1_Word</group>
      <groupName>字词问题</groupName>
      <ability>L2_Typo</ability>
      <abilityName>字词错误</abilityName>
      <candidateList>
        <item>做</item>
      </candidateList>
      <explain>存在发音相同字词的误用。</explain>
      <paraID>6601F676</paraID>
      <start>6</start>
      <end>7</end>
      <status>unmodified</status>
      <modifiedWord/>
      <trackRevisions>false</trackRevisions>
    </reviewItem>
    <reviewItem>
      <errorID>fad22d76-0bbc-4fb9-ba46-0d4d6a2eec56</errorID>
      <errorWord>（</errorWord>
      <group>L1_Format</group>
      <groupName>格式问题</groupName>
      <ability>L2_HalfPunc</ability>
      <abilityName>全半角检查</abilityName>
      <candidateList>
        <item>(</item>
      </candidateList>
      <explain>文本全半角错误。</explain>
      <paraID>5BEE34D0</paraID>
      <start>0</start>
      <end>1</end>
      <status>unmodified</status>
      <modifiedWord/>
      <trackRevisions>false</trackRevisions>
    </reviewItem>
    <reviewItem>
      <errorID>90ce8a22-4840-4aa8-8749-1e5e568caa7a</errorID>
      <errorWord>）</errorWord>
      <group>L1_Format</group>
      <groupName>格式问题</groupName>
      <ability>L2_HalfPunc</ability>
      <abilityName>全半角检查</abilityName>
      <candidateList>
        <item>)</item>
      </candidateList>
      <explain>文本全半角错误。</explain>
      <paraID>5BEE34D0</paraID>
      <start>2</start>
      <end>3</end>
      <status>unmodified</status>
      <modifiedWord/>
      <trackRevisions>false</trackRevisions>
    </reviewItem>
    <reviewItem>
      <errorID>b40212b8-feca-4b5a-a54c-38017c9136fd</errorID>
      <errorWord>（</errorWord>
      <group>L1_Format</group>
      <groupName>格式问题</groupName>
      <ability>L2_HalfPunc</ability>
      <abilityName>全半角检查</abilityName>
      <candidateList>
        <item>(</item>
      </candidateList>
      <explain>文本全半角错误。</explain>
      <paraID>5C6CE5BB</paraID>
      <start>0</start>
      <end>1</end>
      <status>unmodified</status>
      <modifiedWord/>
      <trackRevisions>false</trackRevisions>
    </reviewItem>
    <reviewItem>
      <errorID>9833eaed-cb8b-48c9-884b-e5a19a9fd7d8</errorID>
      <errorWord>）</errorWord>
      <group>L1_Format</group>
      <groupName>格式问题</groupName>
      <ability>L2_HalfPunc</ability>
      <abilityName>全半角检查</abilityName>
      <candidateList>
        <item>)</item>
      </candidateList>
      <explain>文本全半角错误。</explain>
      <paraID>5C6CE5BB</paraID>
      <start>2</start>
      <end>3</end>
      <status>unmodified</status>
      <modifiedWord/>
      <trackRevisions>false</trackRevisions>
    </reviewItem>
    <reviewItem>
      <errorID>add61290-0c11-4217-82b5-3e253a30cb3b</errorID>
      <errorWord>.</errorWord>
      <group>L1_Punc</group>
      <groupName>标点问题</groupName>
      <ability>L2_Punc</ability>
      <abilityName>标点符号检查</abilityName>
      <candidateList/>
      <explain/>
      <paraID>58B60C6D</paraID>
      <start>0</start>
      <end>1</end>
      <status>unmodified</status>
      <modifiedWord/>
      <trackRevisions>false</trackRevisions>
    </reviewItem>
    <reviewItem>
      <errorID>166c1a23-bd1c-4c45-81e5-823219c6d853</errorID>
      <errorWord>（</errorWord>
      <group>L1_Format</group>
      <groupName>格式问题</groupName>
      <ability>L2_HalfPunc</ability>
      <abilityName>全半角检查</abilityName>
      <candidateList>
        <item>(</item>
      </candidateList>
      <explain>文本全半角错误。</explain>
      <paraID>1DA44C3B</paraID>
      <start>0</start>
      <end>1</end>
      <status>unmodified</status>
      <modifiedWord/>
      <trackRevisions>false</trackRevisions>
    </reviewItem>
    <reviewItem>
      <errorID>132fb837-49fb-45f6-86a1-e5533927ff52</errorID>
      <errorWord>）</errorWord>
      <group>L1_Format</group>
      <groupName>格式问题</groupName>
      <ability>L2_HalfPunc</ability>
      <abilityName>全半角检查</abilityName>
      <candidateList>
        <item>)</item>
      </candidateList>
      <explain>文本全半角错误。</explain>
      <paraID>1DA44C3B</paraID>
      <start>2</start>
      <end>3</end>
      <status>unmodified</status>
      <modifiedWord/>
      <trackRevisions>false</trackRevisions>
    </reviewItem>
    <reviewItem>
      <errorID>50bef12d-a83e-4449-a371-b9a14ee9da57</errorID>
      <errorWord>（</errorWord>
      <group>L1_Format</group>
      <groupName>格式问题</groupName>
      <ability>L2_HalfPunc</ability>
      <abilityName>全半角检查</abilityName>
      <candidateList>
        <item>(</item>
      </candidateList>
      <explain>文本全半角错误。</explain>
      <paraID>430D324C</paraID>
      <start>0</start>
      <end>1</end>
      <status>unmodified</status>
      <modifiedWord/>
      <trackRevisions>false</trackRevisions>
    </reviewItem>
    <reviewItem>
      <errorID>e795ffe7-2229-429e-a4c2-823873f1cd76</errorID>
      <errorWord>）</errorWord>
      <group>L1_Format</group>
      <groupName>格式问题</groupName>
      <ability>L2_HalfPunc</ability>
      <abilityName>全半角检查</abilityName>
      <candidateList>
        <item>)</item>
      </candidateList>
      <explain>文本全半角错误。</explain>
      <paraID>430D324C</paraID>
      <start>2</start>
      <end>3</end>
      <status>unmodified</status>
      <modifiedWord/>
      <trackRevisions>false</trackRevisions>
    </reviewItem>
    <reviewItem>
      <errorID>9531e286-e93f-454f-a905-5c010328378a</errorID>
      <errorWord>.</errorWord>
      <group>L1_Punc</group>
      <groupName>标点问题</groupName>
      <ability>L2_Punc</ability>
      <abilityName>标点符号检查</abilityName>
      <candidateList/>
      <explain/>
      <paraID>6C4F76A8</paraID>
      <start>0</start>
      <end>1</end>
      <status>unmodified</status>
      <modifiedWord/>
      <trackRevisions>false</trackRevisions>
    </reviewItem>
    <reviewItem>
      <errorID>b226f6cf-c2ba-44e5-938c-f7330252abc9</errorID>
      <errorWord>列入在</errorWord>
      <group>L1_Word</group>
      <groupName>字词问题</groupName>
      <ability>L2_Typo</ability>
      <abilityName>字词错误</abilityName>
      <candidateList>
        <item>列入</item>
      </candidateList>
      <explain/>
      <paraID>776BAB0A</paraID>
      <start>5</start>
      <end>7</end>
      <status>modified</status>
      <modifiedWord>列入</modifiedWord>
      <trackRevisions>false</trackRevisions>
    </reviewItem>
    <reviewItem>
      <errorID>e269067d-5219-43cb-9ce4-183bf89c8709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5E762F78</paraID>
      <start>51</start>
      <end>52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b8f2-0b76-47ec-9c06-a7eb982aa723}">
  <ds:schemaRefs/>
</ds:datastoreItem>
</file>

<file path=customXml/itemProps2.xml><?xml version="1.0" encoding="utf-8"?>
<ds:datastoreItem xmlns:ds="http://schemas.openxmlformats.org/officeDocument/2006/customXml" ds:itemID="{956F4870-1C89-4B88-9D1E-E66792FEEABA}">
  <ds:schemaRefs/>
</ds:datastoreItem>
</file>

<file path=docProps/app.xml><?xml version="1.0" encoding="utf-8"?>
<Properties xmlns="http://schemas.openxmlformats.org/officeDocument/2006/extended-properties" xmlns:vt="http://schemas.openxmlformats.org/officeDocument/2006/docPropsVTypes">
  <Template>Normal</Template>
  <Pages>52</Pages>
  <Words>1579</Words>
  <Characters>1791</Characters>
  <Lines>168</Lines>
  <Paragraphs>47</Paragraphs>
  <TotalTime>1</TotalTime>
  <ScaleCrop>false</ScaleCrop>
  <LinksUpToDate>false</LinksUpToDate>
  <CharactersWithSpaces>1836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2026-03-09T02:40:00Z</dcterms:created>
  <dc:creator>十三</dc:creator>
  <cp:lastModifiedBy>吴亚利</cp:lastModifiedBy>
  <dcterms:modified xsi:type="dcterms:W3CDTF">2026-03-09T03:33:45Z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69A2343816BC05A07983AA69D703CC04_43</vt:lpwstr>
  </property>
  <property fmtid="{D5CDD505-2E9C-101B-9397-08002B2CF9AE}" pid="4" name="KSOTemplateDocerSaveRecord">
    <vt:lpwstr>eyJoZGlkIjoiMjNlOTk1ZTllZGY2ZjZjYzAwNzI4NDg0N2Q0OGVmNmIiLCJ1c2VySWQiOiI0NDg5ODExNzgifQ==</vt:lpwstr>
  </property>
</Properties>
</file>