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16.odttf" ContentType="application/vnd.openxmlformats-officedocument.obfuscatedFont"/>
  <Override PartName="/word/fonts/font17.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180AD07">
      <w:pPr>
        <w:pStyle w:val="9"/>
        <w:spacing w:after="0" w:line="480" w:lineRule="auto"/>
        <w:ind w:left="0" w:leftChars="0" w:firstLine="0" w:firstLineChars="0"/>
        <w:rPr>
          <w:rFonts w:ascii="Times New Roman" w:hAnsi="Times New Roman" w:eastAsia="仿宋" w:cs="Times New Roman"/>
          <w:color w:val="auto"/>
          <w:sz w:val="44"/>
          <w:szCs w:val="44"/>
        </w:rPr>
      </w:pPr>
    </w:p>
    <w:p w14:paraId="607A9EB6">
      <w:pPr>
        <w:pStyle w:val="9"/>
        <w:spacing w:after="0" w:line="360" w:lineRule="auto"/>
        <w:ind w:left="0" w:leftChars="0" w:firstLine="0" w:firstLineChars="0"/>
        <w:jc w:val="center"/>
        <w:rPr>
          <w:rFonts w:ascii="Times New Roman" w:hAnsi="Times New Roman" w:eastAsia="方正小标宋_GBK" w:cs="Times New Roman"/>
          <w:color w:val="auto"/>
          <w:sz w:val="96"/>
          <w:szCs w:val="96"/>
        </w:rPr>
      </w:pPr>
      <w:r>
        <w:rPr>
          <w:rFonts w:ascii="Times New Roman" w:hAnsi="Times New Roman" w:eastAsia="方正小标宋_GBK" w:cs="Times New Roman"/>
          <w:color w:val="auto"/>
          <w:sz w:val="96"/>
          <w:szCs w:val="96"/>
        </w:rPr>
        <w:t>竞争性比选文件</w:t>
      </w:r>
    </w:p>
    <w:p w14:paraId="5B279CA8">
      <w:pPr>
        <w:pStyle w:val="9"/>
        <w:spacing w:after="0" w:line="500" w:lineRule="exact"/>
        <w:ind w:left="0" w:leftChars="0" w:firstLine="560"/>
        <w:jc w:val="center"/>
        <w:rPr>
          <w:rFonts w:ascii="Times New Roman" w:hAnsi="Times New Roman" w:eastAsia="仿宋" w:cs="Times New Roman"/>
          <w:color w:val="auto"/>
          <w:szCs w:val="28"/>
        </w:rPr>
      </w:pPr>
    </w:p>
    <w:p w14:paraId="19B1D27E">
      <w:pPr>
        <w:pStyle w:val="9"/>
        <w:spacing w:after="0" w:line="600" w:lineRule="exact"/>
        <w:ind w:left="0" w:leftChars="0" w:firstLine="0" w:firstLineChars="0"/>
        <w:rPr>
          <w:rFonts w:ascii="Times New Roman" w:hAnsi="Times New Roman" w:eastAsia="仿宋" w:cs="Times New Roman"/>
          <w:color w:val="auto"/>
          <w:sz w:val="21"/>
          <w:szCs w:val="21"/>
        </w:rPr>
      </w:pPr>
    </w:p>
    <w:p w14:paraId="55E4F01B">
      <w:pPr>
        <w:spacing w:line="480" w:lineRule="auto"/>
        <w:ind w:firstLine="0" w:firstLineChars="0"/>
        <w:jc w:val="center"/>
        <w:rPr>
          <w:rFonts w:ascii="Times New Roman" w:hAnsi="Times New Roman" w:eastAsia="方正小标宋_GBK"/>
          <w:color w:val="auto"/>
          <w:sz w:val="36"/>
          <w:szCs w:val="36"/>
        </w:rPr>
      </w:pPr>
      <w:r>
        <w:rPr>
          <w:rFonts w:ascii="Times New Roman" w:hAnsi="Times New Roman" w:eastAsia="方正小标宋_GBK"/>
          <w:color w:val="auto"/>
          <w:sz w:val="36"/>
          <w:szCs w:val="36"/>
        </w:rPr>
        <w:t>项目名称：</w:t>
      </w:r>
      <w:bookmarkStart w:id="0" w:name="_Hlk230075402"/>
      <w:r>
        <w:rPr>
          <w:rFonts w:hint="eastAsia" w:ascii="Times New Roman" w:hAnsi="Times New Roman" w:eastAsia="方正小标宋_GBK"/>
          <w:color w:val="auto"/>
          <w:sz w:val="36"/>
          <w:szCs w:val="36"/>
        </w:rPr>
        <w:t>2</w:t>
      </w:r>
      <w:r>
        <w:rPr>
          <w:rFonts w:ascii="Times New Roman" w:hAnsi="Times New Roman" w:eastAsia="方正小标宋_GBK"/>
          <w:color w:val="auto"/>
          <w:sz w:val="36"/>
          <w:szCs w:val="36"/>
        </w:rPr>
        <w:t>026</w:t>
      </w:r>
      <w:r>
        <w:rPr>
          <w:rFonts w:hint="eastAsia" w:ascii="Times New Roman" w:hAnsi="Times New Roman" w:eastAsia="方正小标宋_GBK"/>
          <w:color w:val="auto"/>
          <w:sz w:val="36"/>
          <w:szCs w:val="36"/>
        </w:rPr>
        <w:t>川超抖音平台宣传运营服务</w:t>
      </w:r>
      <w:bookmarkEnd w:id="0"/>
    </w:p>
    <w:p w14:paraId="4ADC2ED3">
      <w:pPr>
        <w:pStyle w:val="9"/>
        <w:spacing w:after="0" w:line="600" w:lineRule="exact"/>
        <w:ind w:left="0" w:leftChars="0" w:firstLine="0" w:firstLineChars="0"/>
        <w:jc w:val="center"/>
        <w:rPr>
          <w:rFonts w:ascii="Times New Roman" w:hAnsi="Times New Roman" w:eastAsia="方正小标宋_GBK" w:cs="Times New Roman"/>
          <w:color w:val="auto"/>
          <w:sz w:val="36"/>
          <w:szCs w:val="36"/>
        </w:rPr>
      </w:pPr>
    </w:p>
    <w:p w14:paraId="7BFD2785">
      <w:pPr>
        <w:pStyle w:val="9"/>
        <w:spacing w:after="0" w:line="500" w:lineRule="exact"/>
        <w:ind w:left="0" w:leftChars="0" w:firstLine="0" w:firstLineChars="0"/>
        <w:jc w:val="center"/>
        <w:rPr>
          <w:rFonts w:ascii="Times New Roman" w:hAnsi="Times New Roman" w:eastAsia="仿宋" w:cs="Times New Roman"/>
          <w:color w:val="auto"/>
          <w:szCs w:val="28"/>
        </w:rPr>
      </w:pPr>
    </w:p>
    <w:p w14:paraId="39E21579">
      <w:pPr>
        <w:pStyle w:val="9"/>
        <w:spacing w:after="0" w:line="500" w:lineRule="exact"/>
        <w:ind w:left="0" w:leftChars="0" w:firstLine="0" w:firstLineChars="0"/>
        <w:rPr>
          <w:rFonts w:ascii="Times New Roman" w:hAnsi="Times New Roman" w:eastAsia="仿宋" w:cs="Times New Roman"/>
          <w:color w:val="auto"/>
          <w:szCs w:val="28"/>
        </w:rPr>
      </w:pPr>
    </w:p>
    <w:p w14:paraId="315E9C0C">
      <w:pPr>
        <w:pStyle w:val="9"/>
        <w:spacing w:after="0" w:line="500" w:lineRule="exact"/>
        <w:ind w:left="560" w:firstLine="560"/>
        <w:jc w:val="center"/>
        <w:rPr>
          <w:rFonts w:ascii="Times New Roman" w:hAnsi="Times New Roman" w:eastAsia="仿宋" w:cs="Times New Roman"/>
          <w:color w:val="auto"/>
          <w:szCs w:val="28"/>
        </w:rPr>
      </w:pPr>
    </w:p>
    <w:p w14:paraId="15955114">
      <w:pPr>
        <w:pStyle w:val="9"/>
        <w:spacing w:after="0" w:line="600" w:lineRule="exact"/>
        <w:ind w:left="560" w:firstLine="0" w:firstLineChars="0"/>
        <w:jc w:val="center"/>
        <w:rPr>
          <w:rFonts w:ascii="Times New Roman" w:hAnsi="Times New Roman" w:eastAsia="方正小标宋_GBK" w:cs="Times New Roman"/>
          <w:color w:val="auto"/>
          <w:sz w:val="36"/>
          <w:szCs w:val="36"/>
        </w:rPr>
      </w:pPr>
      <w:r>
        <w:rPr>
          <w:rFonts w:hint="eastAsia" w:ascii="Times New Roman" w:hAnsi="Times New Roman" w:eastAsia="方正小标宋_GBK" w:cs="Times New Roman"/>
          <w:color w:val="auto"/>
          <w:sz w:val="36"/>
          <w:szCs w:val="36"/>
        </w:rPr>
        <w:t>采购人：重庆华龙网集团股份有限公司</w:t>
      </w:r>
    </w:p>
    <w:p w14:paraId="1C542224">
      <w:pPr>
        <w:pStyle w:val="9"/>
        <w:spacing w:after="0" w:line="600" w:lineRule="exact"/>
        <w:ind w:left="560" w:firstLine="0" w:firstLineChars="0"/>
        <w:jc w:val="center"/>
        <w:rPr>
          <w:rFonts w:ascii="Times New Roman" w:hAnsi="Times New Roman" w:eastAsia="方正小标宋_GBK" w:cs="Times New Roman"/>
          <w:color w:val="auto"/>
          <w:sz w:val="36"/>
          <w:szCs w:val="36"/>
        </w:rPr>
      </w:pPr>
      <w:r>
        <w:rPr>
          <w:rFonts w:hint="eastAsia" w:ascii="Times New Roman" w:hAnsi="Times New Roman" w:eastAsia="方正小标宋_GBK" w:cs="Times New Roman"/>
          <w:color w:val="auto"/>
          <w:sz w:val="36"/>
          <w:szCs w:val="36"/>
        </w:rPr>
        <w:t>二〇二六年五月</w:t>
      </w:r>
    </w:p>
    <w:p w14:paraId="62AE898E">
      <w:pPr>
        <w:pStyle w:val="9"/>
        <w:spacing w:after="0" w:line="500" w:lineRule="exact"/>
        <w:ind w:left="560" w:firstLine="0" w:firstLineChars="0"/>
        <w:jc w:val="center"/>
        <w:rPr>
          <w:rFonts w:ascii="Times New Roman" w:hAnsi="Times New Roman" w:eastAsia="仿宋" w:cs="Times New Roman"/>
          <w:color w:val="auto"/>
          <w:szCs w:val="28"/>
        </w:rPr>
      </w:pPr>
    </w:p>
    <w:p w14:paraId="5CDFFB8E">
      <w:pPr>
        <w:pStyle w:val="9"/>
        <w:spacing w:after="0" w:line="600" w:lineRule="exact"/>
        <w:ind w:left="0" w:leftChars="0" w:firstLine="0" w:firstLineChars="0"/>
        <w:rPr>
          <w:rFonts w:ascii="Times New Roman" w:hAnsi="Times New Roman" w:eastAsia="仿宋" w:cs="Times New Roman"/>
          <w:color w:val="auto"/>
          <w:sz w:val="44"/>
          <w:szCs w:val="44"/>
        </w:rPr>
        <w:sectPr>
          <w:headerReference r:id="rId7" w:type="first"/>
          <w:footerReference r:id="rId10" w:type="first"/>
          <w:headerReference r:id="rId5" w:type="default"/>
          <w:footerReference r:id="rId8" w:type="default"/>
          <w:headerReference r:id="rId6" w:type="even"/>
          <w:footerReference r:id="rId9" w:type="even"/>
          <w:pgSz w:w="11907" w:h="16840"/>
          <w:pgMar w:top="2098" w:right="1531" w:bottom="1985" w:left="1531" w:header="851" w:footer="992" w:gutter="0"/>
          <w:pgNumType w:start="1"/>
          <w:cols w:space="720" w:num="1"/>
          <w:titlePg/>
          <w:docGrid w:linePitch="381" w:charSpace="-5735"/>
        </w:sectPr>
      </w:pPr>
    </w:p>
    <w:p w14:paraId="17C250CD">
      <w:pPr>
        <w:spacing w:line="240" w:lineRule="auto"/>
        <w:ind w:firstLine="0" w:firstLineChars="0"/>
        <w:jc w:val="center"/>
        <w:rPr>
          <w:rFonts w:ascii="Times New Roman" w:hAnsi="Times New Roman" w:eastAsia="宋体"/>
          <w:b/>
          <w:bCs/>
          <w:color w:val="auto"/>
          <w:sz w:val="36"/>
          <w:szCs w:val="44"/>
        </w:rPr>
      </w:pPr>
      <w:r>
        <w:rPr>
          <w:rFonts w:ascii="Times New Roman" w:hAnsi="Times New Roman" w:eastAsia="宋体"/>
          <w:b/>
          <w:bCs/>
          <w:color w:val="auto"/>
          <w:sz w:val="36"/>
          <w:szCs w:val="44"/>
        </w:rPr>
        <w:t>目  录</w:t>
      </w:r>
    </w:p>
    <w:p w14:paraId="14A296A0">
      <w:pPr>
        <w:pStyle w:val="14"/>
        <w:tabs>
          <w:tab w:val="right" w:leader="dot" w:pos="9060"/>
        </w:tabs>
        <w:spacing w:line="579" w:lineRule="exact"/>
        <w:ind w:firstLine="0" w:firstLineChars="0"/>
        <w:rPr>
          <w:rFonts w:ascii="Calibri" w:hAnsi="Calibri" w:eastAsia="方正仿宋_GBK"/>
          <w:color w:val="auto"/>
          <w:sz w:val="28"/>
        </w:rPr>
      </w:pPr>
      <w:bookmarkStart w:id="1" w:name="_Toc3317"/>
      <w:bookmarkStart w:id="2" w:name="_Toc30681"/>
      <w:bookmarkStart w:id="3" w:name="_Toc105081898"/>
      <w:bookmarkStart w:id="4" w:name="_Toc16881"/>
      <w:bookmarkStart w:id="5" w:name="_Toc1606"/>
      <w:bookmarkStart w:id="6" w:name="_Toc26715"/>
      <w:r>
        <w:rPr>
          <w:rFonts w:eastAsia="方正仿宋_GBK"/>
          <w:b/>
          <w:bCs/>
          <w:color w:val="auto"/>
          <w:sz w:val="28"/>
          <w:szCs w:val="28"/>
        </w:rPr>
        <w:fldChar w:fldCharType="begin"/>
      </w:r>
      <w:r>
        <w:rPr>
          <w:rFonts w:eastAsia="方正仿宋_GBK"/>
          <w:b/>
          <w:bCs/>
          <w:color w:val="auto"/>
          <w:sz w:val="28"/>
          <w:szCs w:val="28"/>
        </w:rPr>
        <w:instrText xml:space="preserve"> TOC \o "1-1" \h \z \u </w:instrText>
      </w:r>
      <w:r>
        <w:rPr>
          <w:rFonts w:eastAsia="方正仿宋_GBK"/>
          <w:b/>
          <w:bCs/>
          <w:color w:val="auto"/>
          <w:sz w:val="28"/>
          <w:szCs w:val="28"/>
        </w:rPr>
        <w:fldChar w:fldCharType="separate"/>
      </w:r>
      <w:r>
        <w:fldChar w:fldCharType="begin"/>
      </w:r>
      <w:r>
        <w:instrText xml:space="preserve"> HYPERLINK \l "_Toc194572015" </w:instrText>
      </w:r>
      <w:r>
        <w:fldChar w:fldCharType="separate"/>
      </w:r>
      <w:r>
        <w:rPr>
          <w:rFonts w:ascii="Calibri" w:hAnsi="Calibri" w:eastAsia="方正仿宋_GBK"/>
          <w:color w:val="auto"/>
          <w:sz w:val="28"/>
        </w:rPr>
        <w:t>第一篇  比选邀请书</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_Toc194572015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2</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3C793CE9">
      <w:pPr>
        <w:pStyle w:val="14"/>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"_Toc194572016" </w:instrText>
      </w:r>
      <w:r>
        <w:fldChar w:fldCharType="separate"/>
      </w:r>
      <w:r>
        <w:rPr>
          <w:rFonts w:ascii="Calibri" w:hAnsi="Calibri" w:eastAsia="方正仿宋_GBK"/>
          <w:color w:val="auto"/>
          <w:sz w:val="28"/>
        </w:rPr>
        <w:t>第二篇  项目技术/服务需求</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_Toc194572016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5</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122286BF">
      <w:pPr>
        <w:pStyle w:val="14"/>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"_Toc194572017" </w:instrText>
      </w:r>
      <w:r>
        <w:fldChar w:fldCharType="separate"/>
      </w:r>
      <w:r>
        <w:rPr>
          <w:rFonts w:ascii="Calibri" w:hAnsi="Calibri" w:eastAsia="方正仿宋_GBK"/>
          <w:color w:val="auto"/>
          <w:sz w:val="28"/>
        </w:rPr>
        <w:t>第三篇  项目商务要求</w:t>
      </w:r>
      <w:r>
        <w:rPr>
          <w:rFonts w:ascii="Calibri" w:hAnsi="Calibri" w:eastAsia="方正仿宋_GBK"/>
          <w:color w:val="auto"/>
          <w:sz w:val="28"/>
        </w:rPr>
        <w:tab/>
      </w:r>
      <w:r>
        <w:rPr>
          <w:rFonts w:ascii="Calibri" w:hAnsi="Calibri" w:eastAsia="方正仿宋_GBK"/>
          <w:color w:val="auto"/>
          <w:sz w:val="28"/>
        </w:rPr>
        <w:fldChar w:fldCharType="end"/>
      </w:r>
      <w:r>
        <w:rPr>
          <w:rFonts w:hint="eastAsia" w:ascii="Calibri" w:hAnsi="Calibri" w:eastAsia="方正仿宋_GBK"/>
          <w:color w:val="auto"/>
          <w:sz w:val="28"/>
          <w:shd w:val="clear" w:color="FFFFFF" w:fill="D9D9D9"/>
        </w:rPr>
        <w:t>8</w:t>
      </w:r>
    </w:p>
    <w:p w14:paraId="51980788">
      <w:pPr>
        <w:pStyle w:val="14"/>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"_Toc194572018" </w:instrText>
      </w:r>
      <w:r>
        <w:fldChar w:fldCharType="separate"/>
      </w:r>
      <w:r>
        <w:rPr>
          <w:rFonts w:ascii="Calibri" w:hAnsi="Calibri" w:eastAsia="方正仿宋_GBK"/>
          <w:color w:val="auto"/>
          <w:sz w:val="28"/>
        </w:rPr>
        <w:t>第四篇  比选程序及方法、评审标准</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_Toc194572018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12</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5065C472">
      <w:pPr>
        <w:pStyle w:val="14"/>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"_Toc194572019" </w:instrText>
      </w:r>
      <w:r>
        <w:fldChar w:fldCharType="separate"/>
      </w:r>
      <w:r>
        <w:rPr>
          <w:rFonts w:ascii="Calibri" w:hAnsi="Calibri" w:eastAsia="方正仿宋_GBK"/>
          <w:color w:val="auto"/>
          <w:sz w:val="28"/>
        </w:rPr>
        <w:t>第五篇  比选须知</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_Toc194572019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1</w:t>
      </w:r>
      <w:r>
        <w:rPr>
          <w:rFonts w:hint="eastAsia" w:ascii="Calibri" w:hAnsi="Calibri" w:eastAsia="方正仿宋_GBK"/>
          <w:color w:val="auto"/>
          <w:sz w:val="28"/>
          <w:shd w:val="clear" w:color="FFFFFF" w:fill="D9D9D9"/>
          <w:lang w:val="en-US" w:eastAsia="zh-CN"/>
        </w:rPr>
        <w:t>7</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6B2E33A9">
      <w:pPr>
        <w:pStyle w:val="14"/>
        <w:tabs>
          <w:tab w:val="right" w:leader="dot" w:pos="9060"/>
        </w:tabs>
        <w:spacing w:line="579" w:lineRule="exact"/>
        <w:ind w:firstLine="0" w:firstLineChars="0"/>
        <w:rPr>
          <w:rFonts w:ascii="Calibri" w:hAnsi="Calibri" w:eastAsia="方正仿宋_GBK"/>
          <w:color w:val="auto"/>
          <w:sz w:val="28"/>
        </w:rPr>
      </w:pPr>
      <w:r>
        <w:fldChar w:fldCharType="begin"/>
      </w:r>
      <w:r>
        <w:instrText xml:space="preserve"> HYPERLINK \l "_Toc194572020" </w:instrText>
      </w:r>
      <w:r>
        <w:fldChar w:fldCharType="separate"/>
      </w:r>
      <w:r>
        <w:rPr>
          <w:rFonts w:ascii="Calibri" w:hAnsi="Calibri" w:eastAsia="方正仿宋_GBK"/>
          <w:color w:val="auto"/>
          <w:sz w:val="28"/>
        </w:rPr>
        <w:t>第六篇  合同主要条款和格式合同（样本）</w:t>
      </w:r>
      <w:r>
        <w:rPr>
          <w:rFonts w:ascii="Calibri" w:hAnsi="Calibri" w:eastAsia="方正仿宋_GBK"/>
          <w:color w:val="auto"/>
          <w:sz w:val="28"/>
        </w:rPr>
        <w:tab/>
      </w:r>
      <w:r>
        <w:rPr>
          <w:rFonts w:ascii="Calibri" w:hAnsi="Calibri" w:eastAsia="方正仿宋_GBK"/>
          <w:color w:val="auto"/>
          <w:sz w:val="28"/>
          <w:shd w:val="clear" w:color="FFFFFF" w:fill="D9D9D9"/>
        </w:rPr>
        <w:t>22</w:t>
      </w:r>
      <w:r>
        <w:rPr>
          <w:rFonts w:ascii="Calibri" w:hAnsi="Calibri" w:eastAsia="方正仿宋_GBK"/>
          <w:color w:val="auto"/>
          <w:sz w:val="28"/>
          <w:shd w:val="clear" w:color="FFFFFF" w:fill="D9D9D9"/>
        </w:rPr>
        <w:fldChar w:fldCharType="end"/>
      </w:r>
    </w:p>
    <w:p w14:paraId="6680C9F6">
      <w:pPr>
        <w:pStyle w:val="14"/>
        <w:tabs>
          <w:tab w:val="right" w:leader="dot" w:pos="9060"/>
        </w:tabs>
        <w:spacing w:line="579" w:lineRule="exact"/>
        <w:ind w:firstLine="0" w:firstLineChars="0"/>
        <w:rPr>
          <w:rFonts w:eastAsia="方正仿宋_GBK"/>
          <w:b/>
          <w:bCs/>
          <w:color w:val="auto"/>
          <w:sz w:val="28"/>
          <w:szCs w:val="28"/>
        </w:rPr>
      </w:pPr>
      <w:r>
        <w:fldChar w:fldCharType="begin"/>
      </w:r>
      <w:r>
        <w:instrText xml:space="preserve"> HYPERLINK \l "_Toc194572021" </w:instrText>
      </w:r>
      <w:r>
        <w:fldChar w:fldCharType="separate"/>
      </w:r>
      <w:r>
        <w:rPr>
          <w:rFonts w:ascii="Calibri" w:hAnsi="Calibri" w:eastAsia="方正仿宋_GBK"/>
          <w:color w:val="auto"/>
          <w:sz w:val="28"/>
        </w:rPr>
        <w:t>第七篇  参选文件格式</w:t>
      </w:r>
      <w:r>
        <w:rPr>
          <w:rFonts w:ascii="Calibri" w:hAnsi="Calibri" w:eastAsia="方正仿宋_GBK"/>
          <w:color w:val="auto"/>
          <w:sz w:val="28"/>
        </w:rPr>
        <w:tab/>
      </w:r>
      <w:r>
        <w:rPr>
          <w:rFonts w:ascii="Calibri" w:hAnsi="Calibri" w:eastAsia="方正仿宋_GBK"/>
          <w:color w:val="auto"/>
          <w:sz w:val="28"/>
          <w:shd w:val="clear" w:color="FFFFFF" w:fill="D9D9D9"/>
        </w:rPr>
        <w:fldChar w:fldCharType="begin"/>
      </w:r>
      <w:r>
        <w:rPr>
          <w:rFonts w:ascii="Calibri" w:hAnsi="Calibri" w:eastAsia="方正仿宋_GBK"/>
          <w:color w:val="auto"/>
          <w:sz w:val="28"/>
          <w:shd w:val="clear" w:color="FFFFFF" w:fill="D9D9D9"/>
        </w:rPr>
        <w:instrText xml:space="preserve"> PAGEREF _Toc194572021 \h </w:instrText>
      </w:r>
      <w:r>
        <w:rPr>
          <w:rFonts w:ascii="Calibri" w:hAnsi="Calibri" w:eastAsia="方正仿宋_GBK"/>
          <w:color w:val="auto"/>
          <w:sz w:val="28"/>
          <w:shd w:val="clear" w:color="FFFFFF" w:fill="D9D9D9"/>
        </w:rPr>
        <w:fldChar w:fldCharType="separate"/>
      </w:r>
      <w:r>
        <w:rPr>
          <w:rFonts w:ascii="Calibri" w:hAnsi="Calibri" w:eastAsia="方正仿宋_GBK"/>
          <w:color w:val="auto"/>
          <w:sz w:val="28"/>
          <w:shd w:val="clear" w:color="FFFFFF" w:fill="D9D9D9"/>
        </w:rPr>
        <w:t>33</w:t>
      </w:r>
      <w:r>
        <w:rPr>
          <w:rFonts w:ascii="Calibri" w:hAnsi="Calibri" w:eastAsia="方正仿宋_GBK"/>
          <w:color w:val="auto"/>
          <w:sz w:val="28"/>
          <w:shd w:val="clear" w:color="FFFFFF" w:fill="D9D9D9"/>
        </w:rPr>
        <w:fldChar w:fldCharType="end"/>
      </w:r>
      <w:r>
        <w:rPr>
          <w:rFonts w:ascii="Calibri" w:hAnsi="Calibri" w:eastAsia="方正仿宋_GBK"/>
          <w:color w:val="auto"/>
          <w:sz w:val="28"/>
          <w:shd w:val="clear" w:color="FFFFFF" w:fill="D9D9D9"/>
        </w:rPr>
        <w:fldChar w:fldCharType="end"/>
      </w:r>
    </w:p>
    <w:p w14:paraId="75D0CE09">
      <w:pPr>
        <w:pStyle w:val="14"/>
        <w:tabs>
          <w:tab w:val="right" w:leader="dot" w:pos="9060"/>
        </w:tabs>
        <w:ind w:firstLine="562"/>
        <w:rPr>
          <w:rFonts w:eastAsia="仿宋"/>
          <w:color w:val="auto"/>
        </w:rPr>
      </w:pPr>
      <w:r>
        <w:rPr>
          <w:rFonts w:eastAsia="方正仿宋_GBK"/>
          <w:b/>
          <w:bCs/>
          <w:color w:val="auto"/>
          <w:sz w:val="28"/>
          <w:szCs w:val="28"/>
        </w:rPr>
        <w:fldChar w:fldCharType="end"/>
      </w:r>
    </w:p>
    <w:p w14:paraId="667D3025">
      <w:pPr>
        <w:ind w:left="560" w:firstLine="0" w:firstLineChars="0"/>
        <w:rPr>
          <w:rFonts w:ascii="Times New Roman" w:hAnsi="Times New Roman" w:eastAsia="仿宋"/>
          <w:color w:val="auto"/>
        </w:rPr>
      </w:pPr>
    </w:p>
    <w:p w14:paraId="6BACE576">
      <w:pPr>
        <w:ind w:left="560" w:firstLine="0" w:firstLineChars="0"/>
        <w:rPr>
          <w:rFonts w:ascii="Times New Roman" w:hAnsi="Times New Roman" w:eastAsia="仿宋"/>
          <w:color w:val="auto"/>
        </w:rPr>
      </w:pPr>
    </w:p>
    <w:p w14:paraId="62EBE0E4">
      <w:pPr>
        <w:ind w:left="560" w:firstLine="0" w:firstLineChars="0"/>
        <w:rPr>
          <w:rFonts w:ascii="Times New Roman" w:hAnsi="Times New Roman" w:eastAsia="仿宋"/>
          <w:color w:val="auto"/>
        </w:rPr>
      </w:pPr>
    </w:p>
    <w:p w14:paraId="0E1F82F1">
      <w:pPr>
        <w:ind w:left="560" w:firstLine="0" w:firstLineChars="0"/>
        <w:rPr>
          <w:rFonts w:ascii="Times New Roman" w:hAnsi="Times New Roman" w:eastAsia="仿宋"/>
          <w:color w:val="auto"/>
        </w:rPr>
      </w:pPr>
    </w:p>
    <w:p w14:paraId="69EF118B">
      <w:pPr>
        <w:ind w:left="560" w:firstLine="0" w:firstLineChars="0"/>
        <w:rPr>
          <w:rFonts w:ascii="Times New Roman" w:hAnsi="Times New Roman" w:eastAsia="仿宋"/>
          <w:color w:val="auto"/>
        </w:rPr>
      </w:pPr>
    </w:p>
    <w:p w14:paraId="1380F1F7">
      <w:pPr>
        <w:ind w:left="560" w:firstLine="0" w:firstLineChars="0"/>
        <w:rPr>
          <w:rFonts w:ascii="Times New Roman" w:hAnsi="Times New Roman" w:eastAsia="仿宋"/>
          <w:color w:val="auto"/>
        </w:rPr>
      </w:pPr>
    </w:p>
    <w:p w14:paraId="54CF5CDB">
      <w:pPr>
        <w:ind w:left="560" w:firstLine="0" w:firstLineChars="0"/>
        <w:rPr>
          <w:rFonts w:ascii="Times New Roman" w:hAnsi="Times New Roman" w:eastAsia="仿宋"/>
          <w:color w:val="auto"/>
        </w:rPr>
      </w:pPr>
    </w:p>
    <w:p w14:paraId="322A2C61">
      <w:pPr>
        <w:ind w:left="560" w:firstLine="0" w:firstLineChars="0"/>
        <w:rPr>
          <w:rFonts w:ascii="Times New Roman" w:hAnsi="Times New Roman" w:eastAsia="仿宋"/>
          <w:color w:val="auto"/>
        </w:rPr>
      </w:pPr>
    </w:p>
    <w:p w14:paraId="16F55185">
      <w:pPr>
        <w:ind w:left="560" w:firstLine="0" w:firstLineChars="0"/>
        <w:rPr>
          <w:rFonts w:ascii="Times New Roman" w:hAnsi="Times New Roman" w:eastAsia="仿宋"/>
          <w:color w:val="auto"/>
        </w:rPr>
      </w:pPr>
    </w:p>
    <w:bookmarkEnd w:id="1"/>
    <w:bookmarkEnd w:id="2"/>
    <w:bookmarkEnd w:id="3"/>
    <w:bookmarkEnd w:id="4"/>
    <w:bookmarkEnd w:id="5"/>
    <w:bookmarkEnd w:id="6"/>
    <w:p w14:paraId="5C450B58">
      <w:pPr>
        <w:ind w:firstLine="560" w:firstLineChars="0"/>
        <w:rPr>
          <w:rFonts w:ascii="Times New Roman" w:hAnsi="Times New Roman" w:eastAsia="仿宋"/>
          <w:color w:val="auto"/>
          <w:szCs w:val="28"/>
        </w:rPr>
      </w:pPr>
    </w:p>
    <w:p w14:paraId="5FD1195E">
      <w:pPr>
        <w:pStyle w:val="14"/>
        <w:ind w:firstLine="480"/>
        <w:rPr>
          <w:rFonts w:eastAsia="仿宋"/>
          <w:color w:val="auto"/>
          <w:szCs w:val="28"/>
        </w:rPr>
      </w:pPr>
    </w:p>
    <w:p w14:paraId="73C7024A">
      <w:pPr>
        <w:ind w:firstLineChars="0"/>
        <w:jc w:val="center"/>
        <w:rPr>
          <w:rFonts w:ascii="Times New Roman" w:hAnsi="Times New Roman" w:eastAsia="方正小标宋_GBK"/>
          <w:b/>
          <w:bCs/>
          <w:color w:val="auto"/>
          <w:kern w:val="44"/>
          <w:sz w:val="32"/>
          <w:szCs w:val="44"/>
        </w:rPr>
      </w:pPr>
      <w:bookmarkStart w:id="7" w:name="_Toc194572015"/>
      <w:r>
        <w:rPr>
          <w:rFonts w:ascii="Times New Roman" w:hAnsi="Times New Roman" w:eastAsia="方正小标宋_GBK"/>
          <w:b/>
          <w:bCs/>
          <w:color w:val="auto"/>
          <w:kern w:val="44"/>
          <w:sz w:val="32"/>
          <w:szCs w:val="44"/>
        </w:rPr>
        <w:br w:type="page"/>
      </w:r>
    </w:p>
    <w:p w14:paraId="34AFB43D">
      <w:pPr>
        <w:pStyle w:val="2"/>
        <w:spacing w:before="0" w:after="0" w:line="500" w:lineRule="exact"/>
        <w:ind w:firstLine="0" w:firstLineChars="0"/>
        <w:jc w:val="center"/>
        <w:rPr>
          <w:rFonts w:ascii="Times New Roman" w:hAnsi="Times New Roman" w:eastAsia="方正小标宋_GBK" w:cs="Times New Roman"/>
          <w:b/>
          <w:bCs/>
          <w:color w:val="auto"/>
          <w:kern w:val="44"/>
          <w:sz w:val="32"/>
          <w:szCs w:val="44"/>
        </w:rPr>
      </w:pPr>
      <w:r>
        <w:rPr>
          <w:rFonts w:ascii="Times New Roman" w:hAnsi="Times New Roman" w:eastAsia="方正小标宋_GBK" w:cs="Times New Roman"/>
          <w:b/>
          <w:bCs/>
          <w:color w:val="auto"/>
          <w:kern w:val="44"/>
          <w:sz w:val="32"/>
          <w:szCs w:val="44"/>
        </w:rPr>
        <w:t>第一篇  比选邀请书</w:t>
      </w:r>
      <w:bookmarkEnd w:id="7"/>
    </w:p>
    <w:p w14:paraId="53A25C9A">
      <w:pPr>
        <w:ind w:firstLine="560"/>
        <w:rPr>
          <w:rFonts w:ascii="Times New Roman" w:hAnsi="Times New Roman"/>
          <w:color w:val="auto"/>
          <w:szCs w:val="28"/>
          <w:u w:val="single"/>
        </w:rPr>
      </w:pPr>
      <w:bookmarkStart w:id="8" w:name="_Hlk184023984"/>
      <w:r>
        <w:rPr>
          <w:rFonts w:ascii="Times New Roman" w:hAnsi="Times New Roman"/>
          <w:color w:val="auto"/>
          <w:szCs w:val="28"/>
        </w:rPr>
        <w:t>重庆华龙网集团股份有限公司（以下简称“采购人”）对</w:t>
      </w:r>
      <w:r>
        <w:rPr>
          <w:rFonts w:hint="eastAsia" w:ascii="Times New Roman" w:hAnsi="Times New Roman"/>
          <w:color w:val="auto"/>
          <w:szCs w:val="28"/>
          <w:u w:val="single"/>
        </w:rPr>
        <w:t>2026川超抖音平台宣传运营服务</w:t>
      </w:r>
      <w:r>
        <w:rPr>
          <w:rFonts w:ascii="Times New Roman" w:hAnsi="Times New Roman"/>
          <w:color w:val="auto"/>
          <w:szCs w:val="28"/>
        </w:rPr>
        <w:t>面向社会进行竞争性比选采购。欢迎有资格的</w:t>
      </w:r>
      <w:r>
        <w:rPr>
          <w:rFonts w:hint="eastAsia" w:ascii="Times New Roman" w:hAnsi="Times New Roman"/>
          <w:color w:val="auto"/>
          <w:szCs w:val="28"/>
        </w:rPr>
        <w:t>参选人</w:t>
      </w:r>
      <w:r>
        <w:rPr>
          <w:rFonts w:ascii="Times New Roman" w:hAnsi="Times New Roman"/>
          <w:color w:val="auto"/>
          <w:szCs w:val="28"/>
        </w:rPr>
        <w:t>前来参与比选。</w:t>
      </w:r>
    </w:p>
    <w:p w14:paraId="16C774FC">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9" w:name="_Toc105081899"/>
      <w:bookmarkStart w:id="10" w:name="_Toc31682"/>
      <w:bookmarkStart w:id="11" w:name="_Toc25038"/>
      <w:bookmarkStart w:id="12" w:name="_Toc1116"/>
      <w:bookmarkStart w:id="13" w:name="_Toc29938"/>
      <w:r>
        <w:rPr>
          <w:rFonts w:ascii="Times New Roman" w:hAnsi="Times New Roman" w:eastAsia="方正黑体_GBK" w:cs="Times New Roman"/>
          <w:color w:val="auto"/>
          <w:sz w:val="28"/>
          <w:szCs w:val="20"/>
        </w:rPr>
        <w:t>一、竞争性比选内容</w:t>
      </w:r>
      <w:bookmarkEnd w:id="9"/>
      <w:bookmarkEnd w:id="10"/>
      <w:bookmarkEnd w:id="11"/>
      <w:bookmarkEnd w:id="12"/>
      <w:bookmarkEnd w:id="13"/>
      <w:bookmarkStart w:id="193" w:name="_GoBack"/>
      <w:bookmarkEnd w:id="193"/>
    </w:p>
    <w:tbl>
      <w:tblPr>
        <w:tblStyle w:val="19"/>
        <w:tblW w:w="9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674"/>
        <w:gridCol w:w="1742"/>
        <w:gridCol w:w="1570"/>
        <w:gridCol w:w="3332"/>
      </w:tblGrid>
      <w:tr w14:paraId="41B9C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1" w:hRule="atLeast"/>
          <w:jc w:val="center"/>
        </w:trPr>
        <w:tc>
          <w:tcPr>
            <w:tcW w:w="2674" w:type="dxa"/>
            <w:tcBorders>
              <w:top w:val="single" w:color="auto" w:sz="4" w:space="0"/>
              <w:left w:val="single" w:color="auto" w:sz="4" w:space="0"/>
              <w:right w:val="single" w:color="auto" w:sz="4" w:space="0"/>
            </w:tcBorders>
            <w:vAlign w:val="center"/>
          </w:tcPr>
          <w:p w14:paraId="7CDFB6BE">
            <w:pPr>
              <w:widowControl/>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项目名称</w:t>
            </w:r>
          </w:p>
        </w:tc>
        <w:tc>
          <w:tcPr>
            <w:tcW w:w="1742" w:type="dxa"/>
            <w:tcBorders>
              <w:top w:val="single" w:color="auto" w:sz="4" w:space="0"/>
              <w:left w:val="single" w:color="auto" w:sz="4" w:space="0"/>
              <w:right w:val="single" w:color="auto" w:sz="4" w:space="0"/>
            </w:tcBorders>
            <w:vAlign w:val="center"/>
          </w:tcPr>
          <w:p w14:paraId="2D729701">
            <w:pPr>
              <w:widowControl/>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采购预算</w:t>
            </w:r>
          </w:p>
          <w:p w14:paraId="2017BE22">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（万元）</w:t>
            </w:r>
          </w:p>
        </w:tc>
        <w:tc>
          <w:tcPr>
            <w:tcW w:w="1570" w:type="dxa"/>
            <w:tcBorders>
              <w:top w:val="single" w:color="auto" w:sz="4" w:space="0"/>
              <w:left w:val="single" w:color="auto" w:sz="4" w:space="0"/>
              <w:right w:val="single" w:color="auto" w:sz="4" w:space="0"/>
            </w:tcBorders>
            <w:vAlign w:val="center"/>
          </w:tcPr>
          <w:p w14:paraId="49E5DDBE">
            <w:pPr>
              <w:spacing w:line="360" w:lineRule="exact"/>
              <w:ind w:firstLine="0" w:firstLineChars="0"/>
              <w:jc w:val="center"/>
              <w:rPr>
                <w:rFonts w:ascii="Times New Roman" w:hAnsi="Times New Roman" w:eastAsia="仿宋"/>
                <w:color w:val="auto"/>
                <w:szCs w:val="28"/>
              </w:rPr>
            </w:pPr>
            <w:r>
              <w:rPr>
                <w:rFonts w:ascii="Times New Roman" w:hAnsi="Times New Roman" w:eastAsia="仿宋"/>
                <w:b/>
                <w:bCs/>
                <w:color w:val="auto"/>
                <w:kern w:val="0"/>
                <w:szCs w:val="28"/>
              </w:rPr>
              <w:t>成交数量</w:t>
            </w:r>
          </w:p>
          <w:p w14:paraId="12788F21">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（名）</w:t>
            </w:r>
          </w:p>
        </w:tc>
        <w:tc>
          <w:tcPr>
            <w:tcW w:w="3332" w:type="dxa"/>
            <w:tcBorders>
              <w:top w:val="single" w:color="auto" w:sz="4" w:space="0"/>
              <w:left w:val="single" w:color="auto" w:sz="4" w:space="0"/>
              <w:right w:val="single" w:color="auto" w:sz="4" w:space="0"/>
            </w:tcBorders>
            <w:vAlign w:val="center"/>
          </w:tcPr>
          <w:p w14:paraId="361794F1">
            <w:pPr>
              <w:spacing w:line="360" w:lineRule="exact"/>
              <w:ind w:firstLine="0" w:firstLineChars="0"/>
              <w:jc w:val="center"/>
              <w:rPr>
                <w:rFonts w:ascii="Times New Roman" w:hAnsi="Times New Roman" w:eastAsia="仿宋"/>
                <w:b/>
                <w:bCs/>
                <w:color w:val="auto"/>
                <w:kern w:val="0"/>
                <w:szCs w:val="28"/>
              </w:rPr>
            </w:pPr>
            <w:r>
              <w:rPr>
                <w:rFonts w:ascii="Times New Roman" w:hAnsi="Times New Roman" w:eastAsia="仿宋"/>
                <w:b/>
                <w:bCs/>
                <w:color w:val="auto"/>
                <w:kern w:val="0"/>
                <w:szCs w:val="28"/>
              </w:rPr>
              <w:t>备注</w:t>
            </w:r>
          </w:p>
        </w:tc>
      </w:tr>
      <w:tr w14:paraId="148BB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atLeast"/>
          <w:jc w:val="center"/>
        </w:trPr>
        <w:tc>
          <w:tcPr>
            <w:tcW w:w="2674" w:type="dxa"/>
            <w:tcBorders>
              <w:top w:val="single" w:color="auto" w:sz="4" w:space="0"/>
              <w:left w:val="single" w:color="auto" w:sz="4" w:space="0"/>
              <w:right w:val="single" w:color="auto" w:sz="4" w:space="0"/>
            </w:tcBorders>
            <w:vAlign w:val="center"/>
          </w:tcPr>
          <w:p w14:paraId="0EC6AC73">
            <w:pPr>
              <w:widowControl/>
              <w:spacing w:line="360" w:lineRule="exact"/>
              <w:ind w:firstLine="0" w:firstLineChars="0"/>
              <w:jc w:val="center"/>
              <w:rPr>
                <w:rFonts w:ascii="Times New Roman" w:hAnsi="Times New Roman" w:eastAsia="仿宋"/>
                <w:color w:val="auto"/>
                <w:kern w:val="0"/>
                <w:sz w:val="24"/>
              </w:rPr>
            </w:pPr>
            <w:bookmarkStart w:id="14" w:name="_Hlk344477914"/>
            <w:r>
              <w:rPr>
                <w:rFonts w:hint="eastAsia" w:ascii="Times New Roman" w:hAnsi="Times New Roman" w:eastAsia="仿宋"/>
                <w:color w:val="auto"/>
                <w:kern w:val="0"/>
                <w:sz w:val="24"/>
              </w:rPr>
              <w:t>2026川超抖音平台</w:t>
            </w:r>
          </w:p>
          <w:p w14:paraId="76D27464">
            <w:pPr>
              <w:widowControl/>
              <w:spacing w:line="360" w:lineRule="exact"/>
              <w:ind w:firstLine="0" w:firstLineChars="0"/>
              <w:jc w:val="center"/>
              <w:rPr>
                <w:rFonts w:ascii="Times New Roman" w:hAnsi="Times New Roman" w:eastAsia="仿宋"/>
                <w:b/>
                <w:bCs/>
                <w:color w:val="auto"/>
                <w:kern w:val="0"/>
                <w:szCs w:val="28"/>
              </w:rPr>
            </w:pPr>
            <w:r>
              <w:rPr>
                <w:rFonts w:hint="eastAsia" w:ascii="Times New Roman" w:hAnsi="Times New Roman" w:eastAsia="仿宋"/>
                <w:color w:val="auto"/>
                <w:kern w:val="0"/>
                <w:sz w:val="24"/>
              </w:rPr>
              <w:t>宣传运营服务</w:t>
            </w:r>
          </w:p>
        </w:tc>
        <w:tc>
          <w:tcPr>
            <w:tcW w:w="1742" w:type="dxa"/>
            <w:tcBorders>
              <w:top w:val="single" w:color="auto" w:sz="4" w:space="0"/>
              <w:left w:val="single" w:color="auto" w:sz="4" w:space="0"/>
              <w:right w:val="single" w:color="auto" w:sz="4" w:space="0"/>
            </w:tcBorders>
            <w:shd w:val="clear" w:color="auto" w:fill="auto"/>
            <w:vAlign w:val="center"/>
          </w:tcPr>
          <w:p w14:paraId="02C81E83">
            <w:pPr>
              <w:widowControl/>
              <w:spacing w:line="400" w:lineRule="exact"/>
              <w:ind w:firstLine="0" w:firstLineChars="0"/>
              <w:jc w:val="center"/>
              <w:rPr>
                <w:rFonts w:ascii="Times New Roman" w:hAnsi="Times New Roman" w:eastAsia="仿宋"/>
                <w:color w:val="auto"/>
                <w:kern w:val="0"/>
                <w:szCs w:val="28"/>
              </w:rPr>
            </w:pPr>
            <w:r>
              <w:rPr>
                <w:rFonts w:hint="eastAsia" w:ascii="Times New Roman" w:hAnsi="Times New Roman" w:eastAsia="仿宋"/>
                <w:color w:val="auto"/>
              </w:rPr>
              <w:t>29.60</w:t>
            </w:r>
          </w:p>
        </w:tc>
        <w:tc>
          <w:tcPr>
            <w:tcW w:w="1570" w:type="dxa"/>
            <w:tcBorders>
              <w:top w:val="single" w:color="auto" w:sz="4" w:space="0"/>
              <w:left w:val="single" w:color="auto" w:sz="4" w:space="0"/>
              <w:right w:val="single" w:color="auto" w:sz="4" w:space="0"/>
            </w:tcBorders>
            <w:shd w:val="clear" w:color="auto" w:fill="auto"/>
            <w:vAlign w:val="center"/>
          </w:tcPr>
          <w:p w14:paraId="52473692">
            <w:pPr>
              <w:widowControl/>
              <w:spacing w:line="400" w:lineRule="exact"/>
              <w:ind w:firstLine="0" w:firstLineChars="0"/>
              <w:jc w:val="center"/>
              <w:rPr>
                <w:rFonts w:ascii="Times New Roman" w:hAnsi="Times New Roman" w:eastAsia="仿宋"/>
                <w:color w:val="auto"/>
                <w:kern w:val="0"/>
                <w:szCs w:val="28"/>
              </w:rPr>
            </w:pPr>
            <w:r>
              <w:rPr>
                <w:rFonts w:ascii="Times New Roman" w:hAnsi="Times New Roman" w:eastAsia="仿宋"/>
                <w:color w:val="auto"/>
                <w:kern w:val="0"/>
                <w:szCs w:val="28"/>
              </w:rPr>
              <w:t>1</w:t>
            </w:r>
          </w:p>
        </w:tc>
        <w:tc>
          <w:tcPr>
            <w:tcW w:w="3332" w:type="dxa"/>
            <w:tcBorders>
              <w:top w:val="single" w:color="auto" w:sz="4" w:space="0"/>
              <w:left w:val="single" w:color="auto" w:sz="4" w:space="0"/>
              <w:right w:val="single" w:color="auto" w:sz="4" w:space="0"/>
            </w:tcBorders>
            <w:shd w:val="clear" w:color="auto" w:fill="auto"/>
            <w:vAlign w:val="center"/>
          </w:tcPr>
          <w:p w14:paraId="1105549D">
            <w:pPr>
              <w:widowControl/>
              <w:spacing w:line="400" w:lineRule="exact"/>
              <w:ind w:firstLine="0" w:firstLineChars="0"/>
              <w:jc w:val="center"/>
              <w:rPr>
                <w:rFonts w:ascii="Times New Roman" w:hAnsi="Times New Roman" w:eastAsia="仿宋"/>
                <w:b/>
                <w:color w:val="auto"/>
                <w:kern w:val="0"/>
                <w:szCs w:val="28"/>
              </w:rPr>
            </w:pPr>
            <w:r>
              <w:rPr>
                <w:rFonts w:ascii="Times New Roman" w:hAnsi="Times New Roman" w:eastAsia="仿宋"/>
                <w:sz w:val="24"/>
              </w:rPr>
              <w:t>主要服务</w:t>
            </w:r>
            <w:r>
              <w:rPr>
                <w:rFonts w:hint="eastAsia" w:ascii="Times New Roman" w:hAnsi="Times New Roman" w:eastAsia="仿宋"/>
                <w:sz w:val="24"/>
                <w:lang w:val="en-US" w:eastAsia="zh-CN"/>
              </w:rPr>
              <w:t>内容</w:t>
            </w:r>
            <w:r>
              <w:rPr>
                <w:rFonts w:ascii="Times New Roman" w:hAnsi="Times New Roman" w:eastAsia="仿宋"/>
                <w:sz w:val="24"/>
              </w:rPr>
              <w:t>详见“第二篇项目技术/服务需求”</w:t>
            </w:r>
          </w:p>
        </w:tc>
      </w:tr>
      <w:bookmarkEnd w:id="14"/>
    </w:tbl>
    <w:p w14:paraId="50495710">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15" w:name="_Toc19104"/>
      <w:bookmarkStart w:id="16" w:name="_Toc105081900"/>
      <w:bookmarkStart w:id="17" w:name="_Toc28662"/>
      <w:bookmarkStart w:id="18" w:name="_Toc9326"/>
      <w:bookmarkStart w:id="19" w:name="_Toc22473"/>
      <w:r>
        <w:rPr>
          <w:rFonts w:ascii="Times New Roman" w:hAnsi="Times New Roman" w:eastAsia="方正黑体_GBK" w:cs="Times New Roman"/>
          <w:color w:val="auto"/>
          <w:sz w:val="28"/>
          <w:szCs w:val="20"/>
        </w:rPr>
        <w:t>二、资金来源</w:t>
      </w:r>
      <w:bookmarkEnd w:id="15"/>
      <w:bookmarkEnd w:id="16"/>
    </w:p>
    <w:p w14:paraId="289DE0DF">
      <w:pPr>
        <w:ind w:firstLine="560"/>
        <w:rPr>
          <w:rFonts w:ascii="Times New Roman" w:hAnsi="Times New Roman"/>
          <w:color w:val="auto"/>
          <w:szCs w:val="28"/>
        </w:rPr>
      </w:pPr>
      <w:r>
        <w:rPr>
          <w:rFonts w:ascii="Times New Roman" w:hAnsi="Times New Roman"/>
          <w:color w:val="auto"/>
          <w:szCs w:val="28"/>
        </w:rPr>
        <w:t>业主自筹</w:t>
      </w:r>
    </w:p>
    <w:p w14:paraId="4BC89F9B">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20" w:name="_Toc3950"/>
      <w:bookmarkStart w:id="21" w:name="_Toc105081901"/>
      <w:r>
        <w:rPr>
          <w:rFonts w:ascii="Times New Roman" w:hAnsi="Times New Roman" w:eastAsia="方正黑体_GBK" w:cs="Times New Roman"/>
          <w:color w:val="auto"/>
          <w:sz w:val="28"/>
          <w:szCs w:val="20"/>
        </w:rPr>
        <w:t>三、</w:t>
      </w:r>
      <w:r>
        <w:rPr>
          <w:rFonts w:hint="eastAsia" w:ascii="Times New Roman" w:hAnsi="Times New Roman" w:eastAsia="方正黑体_GBK" w:cs="Times New Roman"/>
          <w:color w:val="auto"/>
          <w:sz w:val="28"/>
          <w:szCs w:val="20"/>
        </w:rPr>
        <w:t>参选人</w:t>
      </w:r>
      <w:r>
        <w:rPr>
          <w:rFonts w:ascii="Times New Roman" w:hAnsi="Times New Roman" w:eastAsia="方正黑体_GBK" w:cs="Times New Roman"/>
          <w:color w:val="auto"/>
          <w:sz w:val="28"/>
          <w:szCs w:val="20"/>
        </w:rPr>
        <w:t>资格要求</w:t>
      </w:r>
      <w:bookmarkEnd w:id="17"/>
      <w:bookmarkEnd w:id="18"/>
      <w:bookmarkEnd w:id="19"/>
      <w:bookmarkEnd w:id="20"/>
      <w:bookmarkEnd w:id="21"/>
    </w:p>
    <w:p w14:paraId="6A9FD9EB">
      <w:pPr>
        <w:tabs>
          <w:tab w:val="left" w:pos="6930"/>
        </w:tabs>
        <w:adjustRightInd w:val="0"/>
        <w:snapToGrid w:val="0"/>
        <w:ind w:firstLine="560"/>
        <w:rPr>
          <w:rFonts w:ascii="Times New Roman" w:hAnsi="Times New Roman"/>
          <w:color w:val="auto"/>
          <w:szCs w:val="28"/>
        </w:rPr>
      </w:pPr>
      <w:r>
        <w:rPr>
          <w:rFonts w:hint="eastAsia" w:ascii="Times New Roman" w:hAnsi="Times New Roman"/>
          <w:color w:val="auto"/>
          <w:szCs w:val="28"/>
        </w:rPr>
        <w:t>参选人</w:t>
      </w:r>
      <w:r>
        <w:rPr>
          <w:rFonts w:ascii="Times New Roman" w:hAnsi="Times New Roman"/>
          <w:color w:val="auto"/>
          <w:szCs w:val="28"/>
        </w:rPr>
        <w:t>是指向采购人提供服务或者货物的法人、其他组织或者自然人。合格的</w:t>
      </w:r>
      <w:r>
        <w:rPr>
          <w:rFonts w:hint="eastAsia" w:ascii="Times New Roman" w:hAnsi="Times New Roman"/>
          <w:color w:val="auto"/>
          <w:szCs w:val="28"/>
        </w:rPr>
        <w:t>参选人</w:t>
      </w:r>
      <w:r>
        <w:rPr>
          <w:rFonts w:ascii="Times New Roman" w:hAnsi="Times New Roman"/>
          <w:color w:val="auto"/>
          <w:szCs w:val="28"/>
        </w:rPr>
        <w:t>应首先符合</w:t>
      </w:r>
      <w:r>
        <w:rPr>
          <w:rFonts w:hint="eastAsia" w:ascii="Times New Roman" w:hAnsi="Times New Roman"/>
          <w:color w:val="auto"/>
          <w:szCs w:val="28"/>
        </w:rPr>
        <w:t>比选文件</w:t>
      </w:r>
      <w:r>
        <w:rPr>
          <w:rFonts w:ascii="Times New Roman" w:hAnsi="Times New Roman"/>
          <w:color w:val="auto"/>
          <w:szCs w:val="28"/>
        </w:rPr>
        <w:t>规定的基本资格条件。</w:t>
      </w:r>
    </w:p>
    <w:p w14:paraId="42B2D5AA">
      <w:pPr>
        <w:ind w:firstLine="560"/>
        <w:rPr>
          <w:rFonts w:ascii="Times New Roman" w:hAnsi="Times New Roman"/>
          <w:color w:val="auto"/>
          <w:szCs w:val="28"/>
        </w:rPr>
      </w:pPr>
      <w:r>
        <w:rPr>
          <w:rFonts w:ascii="Times New Roman" w:hAnsi="Times New Roman"/>
          <w:color w:val="auto"/>
          <w:szCs w:val="28"/>
        </w:rPr>
        <w:t>1.具有独立承担民事责任的能力。</w:t>
      </w:r>
    </w:p>
    <w:p w14:paraId="61BBB6D8">
      <w:pPr>
        <w:ind w:firstLine="560"/>
        <w:rPr>
          <w:rFonts w:ascii="Times New Roman" w:hAnsi="Times New Roman"/>
          <w:color w:val="auto"/>
          <w:szCs w:val="28"/>
        </w:rPr>
      </w:pPr>
      <w:r>
        <w:rPr>
          <w:rFonts w:ascii="Times New Roman" w:hAnsi="Times New Roman"/>
          <w:color w:val="auto"/>
          <w:szCs w:val="28"/>
        </w:rPr>
        <w:t>2.具有良好的商业信誉和健全的财务会计制度</w:t>
      </w:r>
      <w:r>
        <w:rPr>
          <w:rFonts w:hint="eastAsia" w:ascii="Times New Roman" w:hAnsi="Times New Roman"/>
          <w:color w:val="auto"/>
          <w:szCs w:val="28"/>
        </w:rPr>
        <w:t>。</w:t>
      </w:r>
    </w:p>
    <w:p w14:paraId="79625F5F">
      <w:pPr>
        <w:ind w:firstLine="560"/>
        <w:rPr>
          <w:rFonts w:ascii="Times New Roman" w:hAnsi="Times New Roman"/>
          <w:color w:val="auto"/>
          <w:szCs w:val="28"/>
        </w:rPr>
      </w:pPr>
      <w:r>
        <w:rPr>
          <w:rFonts w:ascii="Times New Roman" w:hAnsi="Times New Roman"/>
          <w:color w:val="auto"/>
          <w:szCs w:val="28"/>
        </w:rPr>
        <w:t>3.有依法缴纳税收和社会保障资金的良好记录。</w:t>
      </w:r>
    </w:p>
    <w:p w14:paraId="4DF1B6B9">
      <w:pPr>
        <w:ind w:firstLine="560"/>
        <w:rPr>
          <w:rFonts w:ascii="Times New Roman" w:hAnsi="Times New Roman"/>
          <w:color w:val="auto"/>
          <w:szCs w:val="28"/>
        </w:rPr>
      </w:pPr>
      <w:r>
        <w:rPr>
          <w:rFonts w:ascii="Times New Roman" w:hAnsi="Times New Roman"/>
          <w:color w:val="auto"/>
          <w:szCs w:val="28"/>
        </w:rPr>
        <w:t>4</w:t>
      </w:r>
      <w:r>
        <w:rPr>
          <w:rFonts w:hint="eastAsia" w:ascii="Times New Roman" w:hAnsi="Times New Roman"/>
          <w:color w:val="auto"/>
          <w:szCs w:val="28"/>
        </w:rPr>
        <w:t>.</w:t>
      </w:r>
      <w:r>
        <w:rPr>
          <w:rFonts w:ascii="Times New Roman" w:hAnsi="Times New Roman"/>
          <w:color w:val="auto"/>
          <w:szCs w:val="28"/>
        </w:rPr>
        <w:t>具有履行合同所必需的设备和专业技术能力。</w:t>
      </w:r>
    </w:p>
    <w:p w14:paraId="4CFBB0BF">
      <w:pPr>
        <w:ind w:firstLine="560"/>
        <w:rPr>
          <w:rFonts w:ascii="Times New Roman" w:hAnsi="Times New Roman"/>
          <w:color w:val="auto"/>
          <w:szCs w:val="28"/>
        </w:rPr>
      </w:pPr>
      <w:r>
        <w:rPr>
          <w:rFonts w:ascii="Times New Roman" w:hAnsi="Times New Roman"/>
          <w:color w:val="auto"/>
          <w:szCs w:val="28"/>
        </w:rPr>
        <w:t>5.参加本次比选前三年内，在经营活动中没有重大违法记录。</w:t>
      </w:r>
    </w:p>
    <w:p w14:paraId="6EB86B8C">
      <w:pPr>
        <w:ind w:firstLine="560"/>
        <w:rPr>
          <w:rFonts w:ascii="Times New Roman" w:hAnsi="Times New Roman"/>
          <w:color w:val="auto"/>
          <w:szCs w:val="28"/>
        </w:rPr>
      </w:pPr>
      <w:r>
        <w:rPr>
          <w:rFonts w:ascii="Times New Roman" w:hAnsi="Times New Roman"/>
          <w:color w:val="auto"/>
          <w:szCs w:val="28"/>
        </w:rPr>
        <w:t>6</w:t>
      </w:r>
      <w:r>
        <w:rPr>
          <w:rFonts w:hint="eastAsia" w:ascii="Times New Roman" w:hAnsi="Times New Roman"/>
          <w:color w:val="auto"/>
          <w:szCs w:val="28"/>
        </w:rPr>
        <w:t>.</w:t>
      </w:r>
      <w:r>
        <w:rPr>
          <w:rFonts w:ascii="Times New Roman" w:hAnsi="Times New Roman"/>
          <w:color w:val="auto"/>
          <w:szCs w:val="28"/>
        </w:rPr>
        <w:t>参选人股东非华龙网员工及配偶、员工子女及其配偶。</w:t>
      </w:r>
    </w:p>
    <w:p w14:paraId="3402C3BC">
      <w:pPr>
        <w:ind w:firstLine="560"/>
        <w:rPr>
          <w:rFonts w:ascii="Times New Roman" w:hAnsi="Times New Roman"/>
          <w:color w:val="auto"/>
          <w:szCs w:val="28"/>
        </w:rPr>
      </w:pPr>
      <w:r>
        <w:rPr>
          <w:rFonts w:ascii="Times New Roman" w:hAnsi="Times New Roman"/>
          <w:color w:val="auto"/>
          <w:szCs w:val="28"/>
        </w:rPr>
        <w:t>7.单位负责人为同一人或者存在直接控股、管理关系的不同比选方，不得参加同一合同项（分包）下的比选活动，否则均为无效。</w:t>
      </w:r>
    </w:p>
    <w:p w14:paraId="691BD019">
      <w:pPr>
        <w:ind w:firstLine="560"/>
        <w:rPr>
          <w:rFonts w:ascii="Times New Roman" w:hAnsi="Times New Roman"/>
          <w:color w:val="auto"/>
          <w:szCs w:val="28"/>
        </w:rPr>
      </w:pPr>
      <w:r>
        <w:rPr>
          <w:rFonts w:ascii="Times New Roman" w:hAnsi="Times New Roman"/>
          <w:color w:val="auto"/>
          <w:szCs w:val="28"/>
        </w:rPr>
        <w:t>8.诚信声明。</w:t>
      </w:r>
    </w:p>
    <w:p w14:paraId="6B0B2FE3">
      <w:pPr>
        <w:ind w:firstLine="560"/>
        <w:rPr>
          <w:rFonts w:ascii="Times New Roman" w:hAnsi="Times New Roman"/>
          <w:color w:val="auto"/>
          <w:szCs w:val="28"/>
        </w:rPr>
      </w:pPr>
      <w:bookmarkStart w:id="22" w:name="_Toc50574137"/>
      <w:bookmarkStart w:id="23" w:name="_Toc23574"/>
      <w:bookmarkStart w:id="24" w:name="_Toc105081904"/>
      <w:r>
        <w:rPr>
          <w:rFonts w:hint="eastAsia" w:ascii="Times New Roman" w:hAnsi="Times New Roman"/>
          <w:color w:val="auto"/>
          <w:szCs w:val="28"/>
        </w:rPr>
        <w:t>9.法律、行政法规规定的其他条件。</w:t>
      </w:r>
    </w:p>
    <w:p w14:paraId="27390B61">
      <w:pPr>
        <w:pStyle w:val="3"/>
        <w:adjustRightInd w:val="0"/>
        <w:snapToGrid w:val="0"/>
        <w:spacing w:line="539" w:lineRule="exact"/>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四、</w:t>
      </w:r>
      <w:r>
        <w:rPr>
          <w:rFonts w:hint="eastAsia" w:ascii="Times New Roman" w:hAnsi="Times New Roman" w:eastAsia="方正黑体_GBK" w:cs="Times New Roman"/>
          <w:color w:val="auto"/>
          <w:sz w:val="28"/>
          <w:szCs w:val="20"/>
        </w:rPr>
        <w:t>比选公告发布</w:t>
      </w:r>
    </w:p>
    <w:p w14:paraId="52766214">
      <w:pPr>
        <w:tabs>
          <w:tab w:val="left" w:pos="6930"/>
        </w:tabs>
        <w:adjustRightInd w:val="0"/>
        <w:snapToGrid w:val="0"/>
        <w:spacing w:line="539" w:lineRule="exact"/>
        <w:ind w:firstLine="560"/>
        <w:outlineLvl w:val="1"/>
        <w:rPr>
          <w:rFonts w:ascii="Times New Roman" w:hAnsi="Times New Roman"/>
          <w:color w:val="000000"/>
        </w:rPr>
      </w:pPr>
      <w:r>
        <w:rPr>
          <w:rFonts w:ascii="Times New Roman" w:hAnsi="Times New Roman"/>
          <w:color w:val="000000"/>
        </w:rPr>
        <w:t>1.发布网站：拟在集团（总台）所属重庆华龙网（http://www.cqnews.net）、</w:t>
      </w:r>
      <w:r>
        <w:rPr>
          <w:rFonts w:hint="eastAsia" w:ascii="Times New Roman" w:hAnsi="Times New Roman"/>
          <w:color w:val="000000"/>
        </w:rPr>
        <w:t>阳光重庆（www.ygcq.com.cn）网站、</w:t>
      </w:r>
      <w:r>
        <w:rPr>
          <w:rFonts w:ascii="Times New Roman" w:hAnsi="Times New Roman"/>
          <w:color w:val="000000"/>
        </w:rPr>
        <w:t>第1眼app发布比选公告。</w:t>
      </w:r>
    </w:p>
    <w:p w14:paraId="229D6AF1">
      <w:pPr>
        <w:tabs>
          <w:tab w:val="left" w:pos="6930"/>
        </w:tabs>
        <w:adjustRightInd w:val="0"/>
        <w:snapToGrid w:val="0"/>
        <w:ind w:firstLine="560"/>
        <w:outlineLvl w:val="1"/>
        <w:rPr>
          <w:rFonts w:ascii="Times New Roman" w:hAnsi="Times New Roman"/>
          <w:color w:val="000000"/>
        </w:rPr>
      </w:pPr>
      <w:r>
        <w:rPr>
          <w:rFonts w:ascii="Times New Roman" w:hAnsi="Times New Roman"/>
          <w:color w:val="000000"/>
        </w:rPr>
        <w:t>2.比选公告发布时间：</w:t>
      </w:r>
      <w:r>
        <w:rPr>
          <w:rFonts w:ascii="Times New Roman" w:hAnsi="Times New Roman"/>
          <w:color w:val="auto"/>
        </w:rPr>
        <w:t>20</w:t>
      </w:r>
      <w:r>
        <w:rPr>
          <w:rFonts w:ascii="Times New Roman" w:hAnsi="Times New Roman"/>
          <w:color w:val="auto"/>
          <w:szCs w:val="28"/>
        </w:rPr>
        <w:t>26</w:t>
      </w:r>
      <w:r>
        <w:rPr>
          <w:rFonts w:ascii="Times New Roman" w:hAnsi="Times New Roman"/>
          <w:color w:val="auto"/>
        </w:rPr>
        <w:t>年5月21日</w:t>
      </w:r>
      <w:r>
        <w:rPr>
          <w:rFonts w:hint="eastAsia" w:ascii="Times New Roman" w:hAnsi="Times New Roman"/>
          <w:color w:val="000000"/>
        </w:rPr>
        <w:t>起3天。</w:t>
      </w:r>
    </w:p>
    <w:p w14:paraId="0C1C5295">
      <w:pPr>
        <w:keepNext/>
        <w:keepLines/>
        <w:adjustRightInd w:val="0"/>
        <w:snapToGrid w:val="0"/>
        <w:ind w:firstLine="560" w:firstLineChars="0"/>
        <w:jc w:val="left"/>
        <w:outlineLvl w:val="1"/>
        <w:rPr>
          <w:rFonts w:ascii="Times New Roman" w:hAnsi="Times New Roman" w:eastAsia="方正黑体_GBK"/>
          <w:color w:val="000000"/>
          <w:szCs w:val="20"/>
        </w:rPr>
      </w:pPr>
      <w:r>
        <w:rPr>
          <w:rFonts w:hint="eastAsia" w:ascii="Times New Roman" w:hAnsi="Times New Roman" w:eastAsia="方正黑体_GBK"/>
          <w:color w:val="000000"/>
          <w:szCs w:val="20"/>
        </w:rPr>
        <w:t>五、</w:t>
      </w:r>
      <w:r>
        <w:rPr>
          <w:rFonts w:ascii="Times New Roman" w:hAnsi="Times New Roman" w:eastAsia="方正黑体_GBK"/>
          <w:color w:val="000000"/>
          <w:szCs w:val="20"/>
        </w:rPr>
        <w:t>比选文件的获取及报名</w:t>
      </w:r>
    </w:p>
    <w:p w14:paraId="3598C5FE">
      <w:pPr>
        <w:tabs>
          <w:tab w:val="left" w:pos="6930"/>
        </w:tabs>
        <w:adjustRightInd w:val="0"/>
        <w:snapToGrid w:val="0"/>
        <w:ind w:firstLine="560"/>
        <w:outlineLvl w:val="1"/>
        <w:rPr>
          <w:rFonts w:ascii="Times New Roman" w:hAnsi="Times New Roman"/>
          <w:color w:val="auto"/>
        </w:rPr>
      </w:pPr>
      <w:r>
        <w:rPr>
          <w:rFonts w:ascii="Times New Roman" w:hAnsi="Times New Roman"/>
          <w:color w:val="000000"/>
        </w:rPr>
        <w:t>1.报名时间</w:t>
      </w:r>
      <w:r>
        <w:rPr>
          <w:rFonts w:ascii="Times New Roman" w:hAnsi="Times New Roman"/>
          <w:color w:val="auto"/>
        </w:rPr>
        <w:t>20</w:t>
      </w:r>
      <w:r>
        <w:rPr>
          <w:rFonts w:ascii="Times New Roman" w:hAnsi="Times New Roman"/>
          <w:color w:val="auto"/>
          <w:szCs w:val="28"/>
        </w:rPr>
        <w:t>26</w:t>
      </w:r>
      <w:r>
        <w:rPr>
          <w:rFonts w:ascii="Times New Roman" w:hAnsi="Times New Roman"/>
          <w:color w:val="auto"/>
        </w:rPr>
        <w:t>年5月21日至5月25日</w:t>
      </w:r>
      <w:r>
        <w:rPr>
          <w:rFonts w:hint="eastAsia" w:ascii="Times New Roman" w:hAnsi="Times New Roman"/>
          <w:color w:val="auto"/>
        </w:rPr>
        <w:t>17时00分</w:t>
      </w:r>
    </w:p>
    <w:p w14:paraId="40F06D07">
      <w:pPr>
        <w:tabs>
          <w:tab w:val="left" w:pos="6930"/>
        </w:tabs>
        <w:adjustRightInd w:val="0"/>
        <w:snapToGrid w:val="0"/>
        <w:ind w:firstLine="560"/>
        <w:outlineLvl w:val="1"/>
        <w:rPr>
          <w:rFonts w:ascii="Times New Roman" w:hAnsi="Times New Roman"/>
          <w:color w:val="000000"/>
        </w:rPr>
      </w:pPr>
      <w:r>
        <w:rPr>
          <w:rFonts w:ascii="Times New Roman" w:hAnsi="Times New Roman"/>
          <w:color w:val="000000"/>
        </w:rPr>
        <w:t>2.报名及获取方式：拟参与</w:t>
      </w:r>
      <w:r>
        <w:rPr>
          <w:rFonts w:hint="eastAsia" w:ascii="Times New Roman" w:hAnsi="Times New Roman"/>
          <w:color w:val="000000"/>
        </w:rPr>
        <w:t>报名</w:t>
      </w:r>
      <w:r>
        <w:rPr>
          <w:rFonts w:ascii="Times New Roman" w:hAnsi="Times New Roman"/>
          <w:color w:val="000000"/>
        </w:rPr>
        <w:t>比选的</w:t>
      </w:r>
      <w:r>
        <w:rPr>
          <w:rFonts w:hint="eastAsia" w:ascii="Times New Roman" w:hAnsi="Times New Roman"/>
          <w:color w:val="000000"/>
        </w:rPr>
        <w:t>参选人在</w:t>
      </w:r>
      <w:r>
        <w:rPr>
          <w:rFonts w:ascii="Times New Roman" w:hAnsi="Times New Roman"/>
          <w:color w:val="000000"/>
        </w:rPr>
        <w:t>重庆华龙网（http://www.cqnews.net）首页、</w:t>
      </w:r>
      <w:r>
        <w:rPr>
          <w:rFonts w:hint="eastAsia" w:ascii="Times New Roman" w:hAnsi="Times New Roman"/>
          <w:color w:val="000000"/>
        </w:rPr>
        <w:t>阳光重庆（www.ygcq.com.cn）网站</w:t>
      </w:r>
      <w:r>
        <w:rPr>
          <w:rFonts w:ascii="Times New Roman" w:hAnsi="Times New Roman"/>
          <w:color w:val="000000"/>
        </w:rPr>
        <w:t>下载比选文件。同时需在比选报名截止时间前将参选人法定代表人身份证明书原件扫描件、法定代表人授权委托书原件扫描件、营业执照副本扫描件</w:t>
      </w:r>
      <w:r>
        <w:rPr>
          <w:rFonts w:hint="eastAsia" w:ascii="Times New Roman" w:hAnsi="Times New Roman"/>
          <w:color w:val="000000"/>
        </w:rPr>
        <w:t>，均</w:t>
      </w:r>
      <w:r>
        <w:rPr>
          <w:rFonts w:ascii="Times New Roman" w:hAnsi="Times New Roman"/>
          <w:color w:val="000000"/>
        </w:rPr>
        <w:t>加盖参选人公章发至邮箱hlwjgb@cqnews.net，方被视为报名成功。</w:t>
      </w:r>
    </w:p>
    <w:p w14:paraId="62937185">
      <w:pPr>
        <w:ind w:firstLine="560"/>
        <w:rPr>
          <w:rFonts w:ascii="Times New Roman" w:hAnsi="Times New Roman"/>
          <w:color w:val="000000"/>
        </w:rPr>
      </w:pPr>
      <w:r>
        <w:rPr>
          <w:rFonts w:ascii="Times New Roman" w:hAnsi="Times New Roman"/>
          <w:color w:val="000000"/>
        </w:rPr>
        <w:t>3.参选人在比选</w:t>
      </w:r>
      <w:r>
        <w:rPr>
          <w:rFonts w:hint="eastAsia" w:ascii="Times New Roman" w:hAnsi="Times New Roman"/>
          <w:color w:val="000000"/>
        </w:rPr>
        <w:t>报名期</w:t>
      </w:r>
      <w:r>
        <w:rPr>
          <w:rFonts w:ascii="Times New Roman" w:hAnsi="Times New Roman"/>
          <w:color w:val="000000"/>
        </w:rPr>
        <w:t>内报名，其参选文件才被接收。</w:t>
      </w:r>
    </w:p>
    <w:bookmarkEnd w:id="8"/>
    <w:bookmarkEnd w:id="22"/>
    <w:bookmarkEnd w:id="23"/>
    <w:bookmarkEnd w:id="24"/>
    <w:p w14:paraId="4D76DC33">
      <w:pPr>
        <w:keepNext/>
        <w:keepLines/>
        <w:adjustRightInd w:val="0"/>
        <w:snapToGrid w:val="0"/>
        <w:ind w:firstLine="560" w:firstLineChars="0"/>
        <w:jc w:val="left"/>
        <w:outlineLvl w:val="1"/>
        <w:rPr>
          <w:rFonts w:ascii="Times New Roman" w:hAnsi="Times New Roman" w:eastAsia="方正黑体_GBK"/>
          <w:color w:val="000000"/>
          <w:szCs w:val="28"/>
        </w:rPr>
      </w:pPr>
      <w:bookmarkStart w:id="25" w:name="_Toc4175"/>
      <w:bookmarkStart w:id="26" w:name="_Toc466546910"/>
      <w:bookmarkStart w:id="27" w:name="_Toc32118"/>
      <w:bookmarkStart w:id="28" w:name="_Toc18645"/>
      <w:bookmarkStart w:id="29" w:name="_Toc105081906"/>
      <w:bookmarkStart w:id="30" w:name="_Toc19219"/>
      <w:bookmarkStart w:id="31" w:name="_Toc4400"/>
      <w:r>
        <w:rPr>
          <w:rFonts w:hint="eastAsia" w:ascii="Times New Roman" w:hAnsi="Times New Roman" w:eastAsia="方正黑体_GBK"/>
          <w:color w:val="000000"/>
          <w:szCs w:val="28"/>
        </w:rPr>
        <w:t>六</w:t>
      </w:r>
      <w:r>
        <w:rPr>
          <w:rFonts w:hint="eastAsia" w:ascii="Times New Roman" w:hAnsi="Times New Roman" w:eastAsia="方正黑体_GBK"/>
          <w:color w:val="000000"/>
          <w:szCs w:val="20"/>
        </w:rPr>
        <w:t>、</w:t>
      </w:r>
      <w:r>
        <w:rPr>
          <w:rFonts w:ascii="Times New Roman" w:hAnsi="Times New Roman" w:eastAsia="方正黑体_GBK"/>
          <w:color w:val="000000"/>
          <w:szCs w:val="20"/>
        </w:rPr>
        <w:t>比选</w:t>
      </w:r>
      <w:r>
        <w:rPr>
          <w:rFonts w:ascii="Times New Roman" w:hAnsi="Times New Roman" w:eastAsia="方正黑体_GBK"/>
          <w:color w:val="000000"/>
          <w:szCs w:val="28"/>
        </w:rPr>
        <w:t>文件递送截止时间及地点</w:t>
      </w:r>
    </w:p>
    <w:p w14:paraId="63EA650B">
      <w:pPr>
        <w:pStyle w:val="32"/>
        <w:numPr>
          <w:ilvl w:val="255"/>
          <w:numId w:val="0"/>
        </w:numPr>
        <w:ind w:firstLine="560" w:firstLineChars="200"/>
        <w:rPr>
          <w:rFonts w:ascii="Times New Roman" w:hAnsi="Times New Roman"/>
          <w:color w:val="000000"/>
          <w:spacing w:val="-6"/>
          <w:szCs w:val="28"/>
        </w:rPr>
      </w:pPr>
      <w:bookmarkStart w:id="32" w:name="_Toc105081903"/>
      <w:bookmarkStart w:id="33" w:name="_Toc67494197"/>
      <w:bookmarkStart w:id="34" w:name="_Toc26846"/>
      <w:r>
        <w:rPr>
          <w:rFonts w:hint="eastAsia" w:ascii="Times New Roman" w:hAnsi="Times New Roman"/>
          <w:color w:val="000000"/>
          <w:szCs w:val="28"/>
        </w:rPr>
        <w:t>1</w:t>
      </w:r>
      <w:r>
        <w:rPr>
          <w:rFonts w:ascii="Times New Roman" w:hAnsi="Times New Roman"/>
          <w:color w:val="000000"/>
          <w:szCs w:val="28"/>
        </w:rPr>
        <w:t>.文件</w:t>
      </w:r>
      <w:r>
        <w:rPr>
          <w:rFonts w:ascii="Times New Roman" w:hAnsi="Times New Roman"/>
          <w:color w:val="000000"/>
          <w:spacing w:val="-6"/>
          <w:szCs w:val="28"/>
        </w:rPr>
        <w:t>递送截止时间：</w:t>
      </w:r>
      <w:r>
        <w:rPr>
          <w:rFonts w:ascii="Times New Roman" w:hAnsi="Times New Roman"/>
          <w:color w:val="auto"/>
          <w:szCs w:val="28"/>
        </w:rPr>
        <w:t>2026</w:t>
      </w:r>
      <w:r>
        <w:rPr>
          <w:rFonts w:ascii="Times New Roman" w:hAnsi="Times New Roman"/>
          <w:color w:val="000000"/>
        </w:rPr>
        <w:t>年</w:t>
      </w:r>
      <w:r>
        <w:rPr>
          <w:rFonts w:ascii="Times New Roman" w:hAnsi="Times New Roman"/>
          <w:color w:val="auto"/>
          <w:szCs w:val="28"/>
        </w:rPr>
        <w:t>5</w:t>
      </w:r>
      <w:r>
        <w:rPr>
          <w:rFonts w:ascii="Times New Roman" w:hAnsi="Times New Roman"/>
          <w:color w:val="000000"/>
        </w:rPr>
        <w:t>月</w:t>
      </w:r>
      <w:r>
        <w:rPr>
          <w:rFonts w:ascii="Times New Roman" w:hAnsi="Times New Roman"/>
          <w:color w:val="auto"/>
          <w:szCs w:val="28"/>
        </w:rPr>
        <w:t>26</w:t>
      </w:r>
      <w:r>
        <w:rPr>
          <w:rFonts w:ascii="Times New Roman" w:hAnsi="Times New Roman"/>
          <w:color w:val="000000"/>
        </w:rPr>
        <w:t>日</w:t>
      </w:r>
      <w:r>
        <w:rPr>
          <w:rFonts w:ascii="Times New Roman" w:hAnsi="Times New Roman"/>
          <w:color w:val="000000"/>
          <w:spacing w:val="-6"/>
        </w:rPr>
        <w:t>14</w:t>
      </w:r>
      <w:r>
        <w:rPr>
          <w:rFonts w:ascii="Times New Roman" w:hAnsi="Times New Roman"/>
          <w:color w:val="000000"/>
          <w:spacing w:val="-6"/>
          <w:szCs w:val="28"/>
        </w:rPr>
        <w:t>时30</w:t>
      </w:r>
      <w:r>
        <w:rPr>
          <w:rFonts w:hint="eastAsia" w:ascii="Times New Roman" w:hAnsi="Times New Roman"/>
          <w:color w:val="000000"/>
          <w:spacing w:val="-6"/>
          <w:szCs w:val="28"/>
        </w:rPr>
        <w:t>分</w:t>
      </w:r>
      <w:r>
        <w:rPr>
          <w:rFonts w:ascii="Times New Roman" w:hAnsi="Times New Roman"/>
          <w:color w:val="000000"/>
          <w:spacing w:val="-6"/>
          <w:szCs w:val="28"/>
        </w:rPr>
        <w:t>（北京时间）。</w:t>
      </w:r>
    </w:p>
    <w:p w14:paraId="32335301">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2.</w:t>
      </w:r>
      <w:r>
        <w:rPr>
          <w:rFonts w:ascii="Times New Roman" w:hAnsi="Times New Roman"/>
          <w:color w:val="000000"/>
          <w:szCs w:val="28"/>
        </w:rPr>
        <w:t>文件递送地点：</w:t>
      </w:r>
      <w:r>
        <w:rPr>
          <w:rFonts w:hint="eastAsia" w:ascii="Times New Roman" w:hAnsi="Times New Roman"/>
          <w:color w:val="000000"/>
          <w:szCs w:val="28"/>
        </w:rPr>
        <w:t>重庆市两江新区金开大道西段106号互联网产业园10栋</w:t>
      </w:r>
      <w:r>
        <w:rPr>
          <w:rFonts w:ascii="Times New Roman" w:hAnsi="Times New Roman"/>
          <w:color w:val="000000"/>
          <w:szCs w:val="28"/>
        </w:rPr>
        <w:t>8</w:t>
      </w:r>
      <w:r>
        <w:rPr>
          <w:rFonts w:hint="eastAsia" w:ascii="Times New Roman" w:hAnsi="Times New Roman"/>
          <w:color w:val="000000"/>
          <w:szCs w:val="28"/>
        </w:rPr>
        <w:t>楼8</w:t>
      </w:r>
      <w:r>
        <w:rPr>
          <w:rFonts w:ascii="Times New Roman" w:hAnsi="Times New Roman"/>
          <w:color w:val="000000"/>
          <w:szCs w:val="28"/>
        </w:rPr>
        <w:t>14</w:t>
      </w:r>
      <w:r>
        <w:rPr>
          <w:rFonts w:hint="eastAsia" w:ascii="Times New Roman" w:hAnsi="Times New Roman"/>
          <w:color w:val="000000"/>
          <w:szCs w:val="28"/>
        </w:rPr>
        <w:t>会议室。</w:t>
      </w:r>
    </w:p>
    <w:p w14:paraId="76041870">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3</w:t>
      </w:r>
      <w:r>
        <w:rPr>
          <w:rFonts w:ascii="Times New Roman" w:hAnsi="Times New Roman"/>
          <w:color w:val="000000"/>
          <w:szCs w:val="28"/>
        </w:rPr>
        <w:t>.</w:t>
      </w:r>
      <w:r>
        <w:rPr>
          <w:rFonts w:hint="eastAsia" w:ascii="Times New Roman" w:hAnsi="Times New Roman"/>
          <w:color w:val="000000"/>
          <w:szCs w:val="28"/>
        </w:rPr>
        <w:t>比选</w:t>
      </w:r>
      <w:r>
        <w:rPr>
          <w:rFonts w:ascii="Times New Roman" w:hAnsi="Times New Roman"/>
          <w:color w:val="000000"/>
          <w:szCs w:val="28"/>
        </w:rPr>
        <w:t>时间：</w:t>
      </w:r>
      <w:r>
        <w:rPr>
          <w:rFonts w:ascii="Times New Roman" w:hAnsi="Times New Roman"/>
          <w:color w:val="auto"/>
          <w:szCs w:val="28"/>
        </w:rPr>
        <w:t>2026</w:t>
      </w:r>
      <w:r>
        <w:rPr>
          <w:rFonts w:ascii="Times New Roman" w:hAnsi="Times New Roman"/>
          <w:color w:val="000000"/>
        </w:rPr>
        <w:t>年</w:t>
      </w:r>
      <w:r>
        <w:rPr>
          <w:rFonts w:ascii="Times New Roman" w:hAnsi="Times New Roman"/>
          <w:color w:val="auto"/>
          <w:szCs w:val="28"/>
        </w:rPr>
        <w:t>5</w:t>
      </w:r>
      <w:r>
        <w:rPr>
          <w:rFonts w:ascii="Times New Roman" w:hAnsi="Times New Roman"/>
          <w:color w:val="000000"/>
        </w:rPr>
        <w:t>月</w:t>
      </w:r>
      <w:r>
        <w:rPr>
          <w:rFonts w:ascii="Times New Roman" w:hAnsi="Times New Roman"/>
          <w:color w:val="auto"/>
          <w:szCs w:val="28"/>
        </w:rPr>
        <w:t>26</w:t>
      </w:r>
      <w:r>
        <w:rPr>
          <w:rFonts w:ascii="Times New Roman" w:hAnsi="Times New Roman"/>
          <w:color w:val="000000"/>
        </w:rPr>
        <w:t>日</w:t>
      </w:r>
      <w:r>
        <w:rPr>
          <w:rFonts w:ascii="Times New Roman" w:hAnsi="Times New Roman"/>
          <w:color w:val="000000"/>
          <w:spacing w:val="-6"/>
        </w:rPr>
        <w:t>14</w:t>
      </w:r>
      <w:r>
        <w:rPr>
          <w:rFonts w:ascii="Times New Roman" w:hAnsi="Times New Roman"/>
          <w:color w:val="000000"/>
          <w:spacing w:val="-6"/>
          <w:szCs w:val="28"/>
        </w:rPr>
        <w:t>时30</w:t>
      </w:r>
      <w:r>
        <w:rPr>
          <w:rFonts w:hint="eastAsia" w:ascii="Times New Roman" w:hAnsi="Times New Roman"/>
          <w:color w:val="000000"/>
          <w:spacing w:val="-6"/>
          <w:szCs w:val="28"/>
        </w:rPr>
        <w:t>分</w:t>
      </w:r>
      <w:r>
        <w:rPr>
          <w:rFonts w:ascii="Times New Roman" w:hAnsi="Times New Roman"/>
          <w:color w:val="000000"/>
          <w:szCs w:val="28"/>
        </w:rPr>
        <w:t>（北京时间）。</w:t>
      </w:r>
    </w:p>
    <w:p w14:paraId="162A810B">
      <w:pPr>
        <w:pStyle w:val="32"/>
        <w:numPr>
          <w:ilvl w:val="255"/>
          <w:numId w:val="0"/>
        </w:numPr>
        <w:tabs>
          <w:tab w:val="center" w:pos="4535"/>
        </w:tabs>
        <w:snapToGrid w:val="0"/>
        <w:ind w:firstLine="560" w:firstLineChars="200"/>
        <w:rPr>
          <w:rFonts w:ascii="Times New Roman" w:hAnsi="Times New Roman"/>
          <w:color w:val="000000"/>
          <w:szCs w:val="28"/>
        </w:rPr>
      </w:pPr>
      <w:r>
        <w:rPr>
          <w:rFonts w:hint="eastAsia" w:ascii="Times New Roman" w:hAnsi="Times New Roman"/>
          <w:color w:val="000000"/>
          <w:szCs w:val="28"/>
        </w:rPr>
        <w:t>4</w:t>
      </w:r>
      <w:r>
        <w:rPr>
          <w:rFonts w:ascii="Times New Roman" w:hAnsi="Times New Roman"/>
          <w:color w:val="000000"/>
          <w:szCs w:val="28"/>
        </w:rPr>
        <w:t>.</w:t>
      </w:r>
      <w:r>
        <w:rPr>
          <w:rFonts w:hint="eastAsia" w:ascii="Times New Roman" w:hAnsi="Times New Roman"/>
          <w:color w:val="000000"/>
          <w:szCs w:val="28"/>
        </w:rPr>
        <w:t>比</w:t>
      </w:r>
      <w:r>
        <w:rPr>
          <w:rFonts w:ascii="Times New Roman" w:hAnsi="Times New Roman"/>
          <w:color w:val="000000"/>
          <w:szCs w:val="28"/>
        </w:rPr>
        <w:t>选地点：</w:t>
      </w:r>
      <w:r>
        <w:rPr>
          <w:rFonts w:hint="eastAsia" w:ascii="Times New Roman" w:hAnsi="Times New Roman"/>
          <w:color w:val="000000"/>
          <w:szCs w:val="28"/>
        </w:rPr>
        <w:t>重庆市两江新区金开大道西段106号互联网产业园10栋</w:t>
      </w:r>
      <w:r>
        <w:rPr>
          <w:rFonts w:ascii="Times New Roman" w:hAnsi="Times New Roman"/>
          <w:color w:val="000000"/>
          <w:szCs w:val="28"/>
        </w:rPr>
        <w:t>8</w:t>
      </w:r>
      <w:r>
        <w:rPr>
          <w:rFonts w:hint="eastAsia" w:ascii="Times New Roman" w:hAnsi="Times New Roman"/>
          <w:color w:val="000000"/>
          <w:szCs w:val="28"/>
        </w:rPr>
        <w:t>楼8</w:t>
      </w:r>
      <w:r>
        <w:rPr>
          <w:rFonts w:ascii="Times New Roman" w:hAnsi="Times New Roman"/>
          <w:color w:val="000000"/>
          <w:szCs w:val="28"/>
        </w:rPr>
        <w:t>14</w:t>
      </w:r>
      <w:r>
        <w:rPr>
          <w:rFonts w:hint="eastAsia" w:ascii="Times New Roman" w:hAnsi="Times New Roman"/>
          <w:color w:val="000000"/>
          <w:szCs w:val="28"/>
        </w:rPr>
        <w:t>会议室</w:t>
      </w:r>
      <w:r>
        <w:rPr>
          <w:rFonts w:ascii="Times New Roman" w:hAnsi="Times New Roman"/>
          <w:color w:val="000000"/>
          <w:szCs w:val="28"/>
        </w:rPr>
        <w:t>。</w:t>
      </w:r>
    </w:p>
    <w:p w14:paraId="77A53C50">
      <w:pPr>
        <w:keepNext/>
        <w:keepLines/>
        <w:adjustRightInd w:val="0"/>
        <w:snapToGrid w:val="0"/>
        <w:ind w:firstLine="560"/>
        <w:jc w:val="left"/>
        <w:outlineLvl w:val="1"/>
        <w:rPr>
          <w:rFonts w:ascii="Times New Roman" w:hAnsi="Times New Roman" w:eastAsia="方正黑体_GBK"/>
          <w:color w:val="000000"/>
          <w:szCs w:val="20"/>
        </w:rPr>
      </w:pPr>
      <w:r>
        <w:rPr>
          <w:rFonts w:ascii="Times New Roman" w:hAnsi="Times New Roman" w:eastAsia="方正黑体_GBK"/>
          <w:color w:val="000000"/>
          <w:szCs w:val="20"/>
        </w:rPr>
        <w:t>七、比选有关规定</w:t>
      </w:r>
      <w:bookmarkEnd w:id="32"/>
      <w:bookmarkEnd w:id="33"/>
      <w:bookmarkEnd w:id="34"/>
    </w:p>
    <w:p w14:paraId="1907C78B">
      <w:pPr>
        <w:ind w:firstLine="560"/>
        <w:rPr>
          <w:rFonts w:ascii="Times New Roman" w:hAnsi="Times New Roman"/>
          <w:color w:val="000000"/>
        </w:rPr>
      </w:pPr>
      <w:r>
        <w:rPr>
          <w:rFonts w:ascii="Times New Roman" w:hAnsi="Times New Roman"/>
          <w:color w:val="000000"/>
        </w:rPr>
        <w:t>（一）本项目在比选截止时间前发布的比选文件及更正文件（如果有）一律通过电子邮件形式发放，请各参选人注意下载；无论参选人下载与否，均视同参选人已知晓本项目比选文件、更正文件（如果有）的内容。</w:t>
      </w:r>
    </w:p>
    <w:p w14:paraId="5A7EEA59">
      <w:pPr>
        <w:ind w:firstLine="560"/>
        <w:rPr>
          <w:rFonts w:ascii="Times New Roman" w:hAnsi="Times New Roman"/>
          <w:color w:val="000000"/>
        </w:rPr>
      </w:pPr>
      <w:r>
        <w:rPr>
          <w:rFonts w:ascii="Times New Roman" w:hAnsi="Times New Roman"/>
          <w:color w:val="000000"/>
        </w:rPr>
        <w:t>（</w:t>
      </w:r>
      <w:r>
        <w:rPr>
          <w:rFonts w:hint="eastAsia" w:ascii="Times New Roman" w:hAnsi="Times New Roman"/>
          <w:color w:val="000000"/>
        </w:rPr>
        <w:t>二</w:t>
      </w:r>
      <w:r>
        <w:rPr>
          <w:rFonts w:ascii="Times New Roman" w:hAnsi="Times New Roman"/>
          <w:color w:val="000000"/>
        </w:rPr>
        <w:t>）超过比选截止时间递交的参选文件，恕不接收。</w:t>
      </w:r>
    </w:p>
    <w:p w14:paraId="51F143C7">
      <w:pPr>
        <w:ind w:firstLine="560"/>
        <w:rPr>
          <w:rFonts w:ascii="Times New Roman" w:hAnsi="Times New Roman"/>
          <w:color w:val="000000"/>
        </w:rPr>
      </w:pPr>
      <w:r>
        <w:rPr>
          <w:rFonts w:ascii="Times New Roman" w:hAnsi="Times New Roman"/>
          <w:color w:val="000000"/>
        </w:rPr>
        <w:t>（</w:t>
      </w:r>
      <w:r>
        <w:rPr>
          <w:rFonts w:hint="eastAsia" w:ascii="Times New Roman" w:hAnsi="Times New Roman"/>
          <w:color w:val="000000"/>
        </w:rPr>
        <w:t>三</w:t>
      </w:r>
      <w:r>
        <w:rPr>
          <w:rFonts w:ascii="Times New Roman" w:hAnsi="Times New Roman"/>
          <w:color w:val="000000"/>
        </w:rPr>
        <w:t>）比选费用：无论比选结果如何，参选人参与本项目比选的所有费用均应由参选人自行承担。</w:t>
      </w:r>
    </w:p>
    <w:p w14:paraId="2FC21544">
      <w:pPr>
        <w:keepNext/>
        <w:keepLines/>
        <w:adjustRightInd w:val="0"/>
        <w:snapToGrid w:val="0"/>
        <w:ind w:firstLine="560"/>
        <w:jc w:val="left"/>
        <w:outlineLvl w:val="1"/>
        <w:rPr>
          <w:rFonts w:ascii="Times New Roman" w:hAnsi="Times New Roman" w:eastAsia="方正黑体_GBK"/>
          <w:color w:val="000000"/>
          <w:szCs w:val="20"/>
        </w:rPr>
      </w:pPr>
      <w:bookmarkStart w:id="35" w:name="_Toc50574138"/>
      <w:r>
        <w:rPr>
          <w:rFonts w:ascii="Times New Roman" w:hAnsi="Times New Roman" w:eastAsia="方正黑体_GBK"/>
          <w:color w:val="000000"/>
          <w:szCs w:val="20"/>
        </w:rPr>
        <w:t>八、发布公告媒介</w:t>
      </w:r>
      <w:bookmarkEnd w:id="35"/>
    </w:p>
    <w:p w14:paraId="43B6A1BA">
      <w:pPr>
        <w:ind w:firstLine="560"/>
        <w:rPr>
          <w:rFonts w:ascii="Times New Roman" w:hAnsi="Times New Roman"/>
          <w:color w:val="000000"/>
        </w:rPr>
      </w:pPr>
      <w:r>
        <w:rPr>
          <w:rFonts w:ascii="Times New Roman" w:hAnsi="Times New Roman"/>
          <w:color w:val="000000"/>
        </w:rPr>
        <w:t>本次比选公告在重庆华龙网（http://www.cqnews.net）首页</w:t>
      </w:r>
      <w:r>
        <w:rPr>
          <w:rFonts w:ascii="Times New Roman" w:hAnsi="Times New Roman"/>
          <w:color w:val="000000"/>
          <w:szCs w:val="28"/>
        </w:rPr>
        <w:t>、</w:t>
      </w:r>
      <w:r>
        <w:rPr>
          <w:rFonts w:ascii="Times New Roman" w:hAnsi="Times New Roman"/>
          <w:color w:val="000000"/>
        </w:rPr>
        <w:t>阳光重庆（www.ygcq.com.cn）网站、第1眼app发布。</w:t>
      </w:r>
    </w:p>
    <w:p w14:paraId="5067361C">
      <w:pPr>
        <w:keepNext/>
        <w:keepLines/>
        <w:adjustRightInd w:val="0"/>
        <w:snapToGrid w:val="0"/>
        <w:ind w:firstLine="560"/>
        <w:jc w:val="left"/>
        <w:outlineLvl w:val="1"/>
        <w:rPr>
          <w:rFonts w:ascii="Times New Roman" w:hAnsi="Times New Roman" w:eastAsia="方正黑体_GBK"/>
          <w:color w:val="000000"/>
          <w:szCs w:val="20"/>
        </w:rPr>
      </w:pPr>
      <w:r>
        <w:rPr>
          <w:rFonts w:ascii="Times New Roman" w:hAnsi="Times New Roman" w:eastAsia="方正黑体_GBK"/>
          <w:color w:val="000000"/>
          <w:szCs w:val="20"/>
        </w:rPr>
        <w:t>九、联系方式</w:t>
      </w:r>
    </w:p>
    <w:p w14:paraId="2293AC56">
      <w:pPr>
        <w:ind w:firstLine="560"/>
        <w:rPr>
          <w:rFonts w:ascii="Times New Roman" w:hAnsi="Times New Roman"/>
          <w:color w:val="auto"/>
        </w:rPr>
      </w:pPr>
      <w:r>
        <w:rPr>
          <w:rFonts w:ascii="Times New Roman" w:hAnsi="Times New Roman"/>
          <w:color w:val="000000"/>
        </w:rPr>
        <w:t>联系人及电话：</w:t>
      </w:r>
      <w:r>
        <w:rPr>
          <w:rFonts w:hint="eastAsia" w:ascii="Times New Roman" w:hAnsi="Times New Roman"/>
          <w:color w:val="auto"/>
        </w:rPr>
        <w:t>王老师</w:t>
      </w:r>
      <w:r>
        <w:rPr>
          <w:rFonts w:ascii="Times New Roman" w:hAnsi="Times New Roman"/>
          <w:color w:val="auto"/>
        </w:rPr>
        <w:t>（</w:t>
      </w:r>
      <w:r>
        <w:rPr>
          <w:rFonts w:hint="eastAsia" w:ascii="Times New Roman" w:hAnsi="Times New Roman"/>
          <w:color w:val="auto"/>
        </w:rPr>
        <w:t>18306036897</w:t>
      </w:r>
      <w:r>
        <w:rPr>
          <w:rFonts w:ascii="Times New Roman" w:hAnsi="Times New Roman"/>
          <w:color w:val="auto"/>
        </w:rPr>
        <w:t>）杨</w:t>
      </w:r>
      <w:r>
        <w:rPr>
          <w:rFonts w:hint="eastAsia" w:ascii="Times New Roman" w:hAnsi="Times New Roman"/>
          <w:color w:val="auto"/>
        </w:rPr>
        <w:t>老师</w:t>
      </w:r>
      <w:r>
        <w:rPr>
          <w:rFonts w:ascii="Times New Roman" w:hAnsi="Times New Roman"/>
          <w:color w:val="auto"/>
        </w:rPr>
        <w:t>（13527497052）</w:t>
      </w:r>
    </w:p>
    <w:p w14:paraId="164722C1">
      <w:pPr>
        <w:ind w:firstLine="560"/>
        <w:rPr>
          <w:rFonts w:ascii="Times New Roman" w:hAnsi="Times New Roman"/>
          <w:color w:val="000000"/>
          <w:spacing w:val="-11"/>
        </w:rPr>
      </w:pPr>
      <w:r>
        <w:rPr>
          <w:rFonts w:ascii="Times New Roman" w:hAnsi="Times New Roman"/>
          <w:color w:val="000000"/>
        </w:rPr>
        <w:t>地  址：重</w:t>
      </w:r>
      <w:r>
        <w:rPr>
          <w:rFonts w:ascii="Times New Roman" w:hAnsi="Times New Roman"/>
          <w:color w:val="000000"/>
          <w:spacing w:val="-11"/>
        </w:rPr>
        <w:t>庆市两江新区金开大道西段106号10幢移动新媒体产业大厦</w:t>
      </w:r>
    </w:p>
    <w:p w14:paraId="420D12D7">
      <w:pPr>
        <w:ind w:firstLine="560"/>
        <w:rPr>
          <w:rFonts w:ascii="Times New Roman" w:hAnsi="Times New Roman"/>
          <w:b/>
          <w:color w:val="000000"/>
        </w:rPr>
      </w:pPr>
      <w:bookmarkStart w:id="36" w:name="_Toc49326495"/>
      <w:r>
        <w:rPr>
          <w:rFonts w:ascii="Times New Roman" w:hAnsi="Times New Roman"/>
          <w:color w:val="000000"/>
        </w:rPr>
        <w:t>本项目不举行答疑会，项目</w:t>
      </w:r>
      <w:r>
        <w:rPr>
          <w:rFonts w:hint="eastAsia" w:ascii="Times New Roman" w:hAnsi="Times New Roman"/>
          <w:color w:val="000000"/>
        </w:rPr>
        <w:t>需求</w:t>
      </w:r>
      <w:r>
        <w:rPr>
          <w:rFonts w:ascii="Times New Roman" w:hAnsi="Times New Roman"/>
          <w:color w:val="000000"/>
        </w:rPr>
        <w:t>详情可向采购人了解</w:t>
      </w:r>
      <w:r>
        <w:rPr>
          <w:rFonts w:ascii="Times New Roman" w:hAnsi="Times New Roman"/>
          <w:b/>
          <w:color w:val="000000"/>
        </w:rPr>
        <w:t>。</w:t>
      </w:r>
      <w:bookmarkEnd w:id="36"/>
    </w:p>
    <w:p w14:paraId="0A989BF3">
      <w:pPr>
        <w:ind w:firstLine="562"/>
        <w:rPr>
          <w:rFonts w:ascii="Times New Roman" w:hAnsi="Times New Roman"/>
          <w:b/>
          <w:color w:val="000000"/>
        </w:rPr>
      </w:pPr>
    </w:p>
    <w:p w14:paraId="1BA36497">
      <w:pPr>
        <w:ind w:firstLine="562"/>
        <w:rPr>
          <w:rFonts w:ascii="Times New Roman" w:hAnsi="Times New Roman"/>
          <w:b/>
          <w:color w:val="000000"/>
        </w:rPr>
      </w:pPr>
    </w:p>
    <w:p w14:paraId="6656A7E1">
      <w:pPr>
        <w:ind w:firstLine="562"/>
        <w:rPr>
          <w:rFonts w:ascii="Times New Roman" w:hAnsi="Times New Roman"/>
          <w:b/>
          <w:color w:val="000000"/>
        </w:rPr>
      </w:pPr>
    </w:p>
    <w:p w14:paraId="25735754">
      <w:pPr>
        <w:ind w:firstLine="562"/>
        <w:rPr>
          <w:rFonts w:ascii="Times New Roman" w:hAnsi="Times New Roman"/>
          <w:b/>
          <w:color w:val="000000"/>
        </w:rPr>
      </w:pPr>
    </w:p>
    <w:p w14:paraId="54E9FD44">
      <w:pPr>
        <w:ind w:firstLine="562"/>
        <w:rPr>
          <w:rFonts w:ascii="Times New Roman" w:hAnsi="Times New Roman"/>
          <w:b/>
          <w:color w:val="000000"/>
        </w:rPr>
      </w:pPr>
    </w:p>
    <w:p w14:paraId="2FA60C0C">
      <w:pPr>
        <w:ind w:firstLine="562"/>
        <w:rPr>
          <w:rFonts w:ascii="Times New Roman" w:hAnsi="Times New Roman"/>
          <w:b/>
          <w:color w:val="000000"/>
        </w:rPr>
      </w:pPr>
    </w:p>
    <w:p w14:paraId="1028E2E2">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37" w:name="_Toc194572016"/>
      <w:r>
        <w:rPr>
          <w:rFonts w:ascii="Times New Roman" w:hAnsi="Times New Roman" w:eastAsia="方正小标宋_GBK" w:cs="Times New Roman"/>
          <w:b/>
          <w:bCs/>
          <w:color w:val="auto"/>
          <w:kern w:val="44"/>
          <w:sz w:val="32"/>
          <w:szCs w:val="44"/>
        </w:rPr>
        <w:t>第二篇  项目服务需求</w:t>
      </w:r>
      <w:bookmarkEnd w:id="37"/>
    </w:p>
    <w:p w14:paraId="0B94A643">
      <w:pPr>
        <w:ind w:firstLine="560"/>
        <w:rPr>
          <w:rFonts w:ascii="Times New Roman" w:hAnsi="Times New Roman" w:eastAsia="方正黑体_GBK"/>
          <w:color w:val="auto"/>
          <w:szCs w:val="20"/>
        </w:rPr>
      </w:pPr>
      <w:bookmarkStart w:id="38" w:name="_Toc20396"/>
      <w:bookmarkStart w:id="39" w:name="_Toc6891"/>
      <w:r>
        <w:rPr>
          <w:rFonts w:ascii="Times New Roman" w:hAnsi="Times New Roman" w:eastAsia="方正黑体_GBK"/>
          <w:color w:val="auto"/>
          <w:szCs w:val="20"/>
        </w:rPr>
        <w:t>一、项目情况</w:t>
      </w:r>
    </w:p>
    <w:p w14:paraId="60BB079E">
      <w:pPr>
        <w:ind w:firstLine="560"/>
        <w:rPr>
          <w:rFonts w:ascii="Times New Roman" w:hAnsi="Times New Roman"/>
          <w:color w:val="000000"/>
        </w:rPr>
      </w:pPr>
      <w:r>
        <w:rPr>
          <w:rFonts w:hint="eastAsia" w:ascii="Times New Roman" w:hAnsi="Times New Roman"/>
          <w:color w:val="000000"/>
        </w:rPr>
        <w:t>为深入贯彻体育</w:t>
      </w:r>
      <w:r>
        <w:rPr>
          <w:rFonts w:ascii="Times New Roman" w:hAnsi="Times New Roman"/>
          <w:color w:val="000000"/>
        </w:rPr>
        <w:t>+</w:t>
      </w:r>
      <w:r>
        <w:rPr>
          <w:rFonts w:hint="eastAsia" w:ascii="Times New Roman" w:hAnsi="Times New Roman"/>
          <w:color w:val="000000"/>
        </w:rPr>
        <w:t>文旅融合发展战略，充分借助四川足球超级联赛（川超）</w:t>
      </w:r>
      <w:r>
        <w:rPr>
          <w:rFonts w:ascii="Times New Roman" w:hAnsi="Times New Roman"/>
          <w:color w:val="000000"/>
        </w:rPr>
        <w:t xml:space="preserve"> </w:t>
      </w:r>
      <w:r>
        <w:rPr>
          <w:rFonts w:hint="eastAsia" w:ascii="Times New Roman" w:hAnsi="Times New Roman"/>
          <w:color w:val="000000"/>
        </w:rPr>
        <w:t>品牌影响力与赛事热度，全面提升四川自贡市城市形象、文旅资源、特色产业及城市品牌的曝光度与美誉度，现拟围绕川超赛事开展全方位、多平台、高频次的宣传推广服务。项目旨在以川超赛事为核心载体，联动自贡城市文旅、商业、特色资源，通过新媒体传播、内容创作、话题运营、现场宣传、媒体推广等方式，打造具有区域辨识度与传播力的自贡体育宣传</w:t>
      </w:r>
      <w:r>
        <w:rPr>
          <w:rFonts w:ascii="Times New Roman" w:hAnsi="Times New Roman"/>
          <w:color w:val="000000"/>
        </w:rPr>
        <w:t>IP</w:t>
      </w:r>
      <w:r>
        <w:rPr>
          <w:rFonts w:hint="eastAsia" w:ascii="Times New Roman" w:hAnsi="Times New Roman"/>
          <w:color w:val="000000"/>
        </w:rPr>
        <w:t>，扩大赛事影响力，带动城市流量与品牌价值提升，实现“以赛兴城、以赛促宣、以赛引流”的宣传目标。</w:t>
      </w:r>
    </w:p>
    <w:p w14:paraId="022029D8">
      <w:pPr>
        <w:ind w:firstLine="560"/>
        <w:rPr>
          <w:rFonts w:ascii="方正黑体_GBK" w:eastAsia="方正黑体_GBK"/>
          <w:color w:val="000000"/>
          <w:szCs w:val="28"/>
        </w:rPr>
      </w:pPr>
      <w:r>
        <w:rPr>
          <w:rFonts w:hint="eastAsia" w:ascii="方正黑体_GBK" w:eastAsia="方正黑体_GBK"/>
          <w:color w:val="000000"/>
          <w:szCs w:val="28"/>
        </w:rPr>
        <w:t>二、项目技术需求内容</w:t>
      </w:r>
    </w:p>
    <w:p w14:paraId="26F1F719">
      <w:pPr>
        <w:numPr>
          <w:ilvl w:val="0"/>
          <w:numId w:val="1"/>
        </w:numPr>
        <w:ind w:firstLineChars="0"/>
        <w:rPr>
          <w:rFonts w:ascii="Times New Roman" w:hAnsi="Times New Roman"/>
          <w:color w:val="auto"/>
        </w:rPr>
      </w:pPr>
      <w:r>
        <w:rPr>
          <w:rFonts w:hint="eastAsia" w:ascii="Times New Roman" w:hAnsi="Times New Roman"/>
          <w:color w:val="auto"/>
        </w:rPr>
        <w:t>视频选题策划服务</w:t>
      </w:r>
    </w:p>
    <w:p w14:paraId="2BA13355">
      <w:pPr>
        <w:ind w:firstLine="560" w:firstLineChars="0"/>
        <w:rPr>
          <w:rFonts w:ascii="Times New Roman" w:hAnsi="Times New Roman"/>
          <w:color w:val="auto"/>
        </w:rPr>
      </w:pPr>
      <w:r>
        <w:rPr>
          <w:rFonts w:ascii="Times New Roman" w:hAnsi="Times New Roman"/>
          <w:color w:val="auto"/>
        </w:rPr>
        <w:t>1.</w:t>
      </w:r>
      <w:r>
        <w:rPr>
          <w:rFonts w:hint="eastAsia" w:ascii="Times New Roman" w:hAnsi="Times New Roman"/>
          <w:color w:val="auto"/>
        </w:rPr>
        <w:t>选题内容：围绕自贡市参与的四川足球超级联赛（以下简称“川超”）赛事及自贡国投集团承办的相关其他教育体育赛事，以抖音视频平台账号运营为主、分发微信视频号，运营账号以自贡教体为主开展全周期选题创作，同时部分联动自贡国投集团矩阵账号（自贡国投/素墨文化/自贡灯会</w:t>
      </w:r>
      <w:r>
        <w:rPr>
          <w:rFonts w:hint="eastAsia" w:ascii="Times New Roman" w:hAnsi="Times New Roman"/>
          <w:color w:val="auto"/>
          <w:lang w:eastAsia="zh"/>
        </w:rPr>
        <w:t>等</w:t>
      </w:r>
      <w:r>
        <w:rPr>
          <w:rFonts w:hint="eastAsia" w:ascii="Times New Roman" w:hAnsi="Times New Roman"/>
          <w:color w:val="auto"/>
        </w:rPr>
        <w:t>）。选题需深度结合赛事进程、自贡主场场馆特色、球队风采、球员故事、球迷文化、赛事配套服务、自贡城市文旅资源联动等维度，打造系列化、有记忆点的定制化内容矩阵。</w:t>
      </w:r>
    </w:p>
    <w:p w14:paraId="623B05AA">
      <w:pPr>
        <w:ind w:firstLine="560" w:firstLineChars="0"/>
        <w:rPr>
          <w:rFonts w:ascii="Times New Roman" w:hAnsi="Times New Roman"/>
          <w:color w:val="auto"/>
        </w:rPr>
      </w:pPr>
      <w:r>
        <w:rPr>
          <w:rFonts w:ascii="Times New Roman" w:hAnsi="Times New Roman"/>
          <w:color w:val="auto"/>
        </w:rPr>
        <w:t>2.</w:t>
      </w:r>
      <w:r>
        <w:rPr>
          <w:rFonts w:hint="eastAsia" w:ascii="Times New Roman" w:hAnsi="Times New Roman"/>
          <w:color w:val="auto"/>
        </w:rPr>
        <w:t>执行要求：</w:t>
      </w:r>
    </w:p>
    <w:p w14:paraId="0D553708">
      <w:pPr>
        <w:ind w:firstLine="560" w:firstLineChars="0"/>
        <w:rPr>
          <w:rFonts w:ascii="Times New Roman" w:hAnsi="Times New Roman"/>
          <w:color w:val="auto"/>
        </w:rPr>
      </w:pPr>
      <w:r>
        <w:rPr>
          <w:rFonts w:hint="eastAsia" w:ascii="Times New Roman" w:hAnsi="Times New Roman"/>
          <w:color w:val="auto"/>
        </w:rPr>
        <w:t>需根据川超赛季赛程节点（赛前预热、赛中报道、赛后复盘、关键场次/德比战、节日赛事等）制定月度选题规划，确保内容节奏与赛事进程高度匹配；选题需突出自贡本土特色，融入自贡文旅IP、自贡国投集团品牌（如教体建设、灯会、盐文化等）与川超赛事的联动元素，打造差异化内容标签；所有选题需经采购人审核确认后方可执行，确保内容导向合规、贴合宣传目标。</w:t>
      </w:r>
    </w:p>
    <w:p w14:paraId="192CF371">
      <w:pPr>
        <w:ind w:firstLine="560" w:firstLineChars="0"/>
        <w:rPr>
          <w:rFonts w:ascii="Times New Roman" w:hAnsi="Times New Roman"/>
          <w:color w:val="auto"/>
        </w:rPr>
      </w:pPr>
      <w:r>
        <w:rPr>
          <w:rFonts w:hint="eastAsia" w:ascii="Times New Roman" w:hAnsi="Times New Roman"/>
          <w:color w:val="auto"/>
        </w:rPr>
        <w:t>交付数量：150条定制化选题。</w:t>
      </w:r>
    </w:p>
    <w:p w14:paraId="6C83FF1A">
      <w:pPr>
        <w:numPr>
          <w:ilvl w:val="0"/>
          <w:numId w:val="1"/>
        </w:numPr>
        <w:ind w:firstLineChars="0"/>
        <w:rPr>
          <w:rFonts w:ascii="Times New Roman" w:hAnsi="Times New Roman"/>
          <w:color w:val="auto"/>
        </w:rPr>
      </w:pPr>
      <w:r>
        <w:rPr>
          <w:rFonts w:hint="eastAsia" w:ascii="Times New Roman" w:hAnsi="Times New Roman"/>
          <w:color w:val="auto"/>
        </w:rPr>
        <w:t>视频素材收集服务</w:t>
      </w:r>
    </w:p>
    <w:p w14:paraId="1EDE8C79">
      <w:pPr>
        <w:ind w:firstLine="560" w:firstLineChars="0"/>
        <w:rPr>
          <w:rFonts w:ascii="Times New Roman" w:hAnsi="Times New Roman"/>
          <w:color w:val="auto"/>
        </w:rPr>
      </w:pPr>
      <w:r>
        <w:rPr>
          <w:rFonts w:hint="eastAsia" w:ascii="Times New Roman" w:hAnsi="Times New Roman"/>
          <w:color w:val="auto"/>
        </w:rPr>
        <w:t>1.服务内容：针对重大节假日、川超自贡主场活动及赛事开展现场拍摄，覆盖自贡主场赛事全程跟拍、赛前预热活动、赛后球员互动、球迷助威场景、场馆内外环境等素材采集，配备编导、演员、摄影师等专业团队完成拍摄工作，保障素材的完整性与时效性。</w:t>
      </w:r>
    </w:p>
    <w:p w14:paraId="5ABFB388">
      <w:pPr>
        <w:ind w:firstLine="560" w:firstLineChars="0"/>
        <w:rPr>
          <w:rFonts w:ascii="Times New Roman" w:hAnsi="Times New Roman"/>
          <w:color w:val="auto"/>
        </w:rPr>
      </w:pPr>
      <w:r>
        <w:rPr>
          <w:rFonts w:hint="eastAsia" w:ascii="Times New Roman" w:hAnsi="Times New Roman"/>
          <w:color w:val="auto"/>
        </w:rPr>
        <w:t>2.执行要求：</w:t>
      </w:r>
    </w:p>
    <w:p w14:paraId="07573D61">
      <w:pPr>
        <w:ind w:firstLine="560" w:firstLineChars="0"/>
        <w:rPr>
          <w:rFonts w:ascii="Times New Roman" w:hAnsi="Times New Roman"/>
          <w:color w:val="auto"/>
        </w:rPr>
      </w:pPr>
      <w:r>
        <w:rPr>
          <w:rFonts w:hint="eastAsia" w:ascii="Times New Roman" w:hAnsi="Times New Roman"/>
          <w:color w:val="auto"/>
        </w:rPr>
        <w:t>需针对采购人审核通过的选题，制定拍摄计划并完成现场跟拍，素材需包含1080P高清原片、多角度镜头（全景、中景、特写、慢动作等），覆盖赛事高光时刻、球员特写、球迷氛围、自贡主场特色场景等；重大节假日、关键场次赛事需安排双机位或多机位拍摄，确保素材无遗漏。</w:t>
      </w:r>
    </w:p>
    <w:p w14:paraId="38DA64F7">
      <w:pPr>
        <w:ind w:firstLine="560" w:firstLineChars="0"/>
        <w:rPr>
          <w:rFonts w:ascii="Times New Roman" w:hAnsi="Times New Roman"/>
          <w:color w:val="auto"/>
        </w:rPr>
      </w:pPr>
      <w:r>
        <w:rPr>
          <w:rFonts w:hint="eastAsia" w:ascii="Times New Roman" w:hAnsi="Times New Roman"/>
          <w:color w:val="auto"/>
        </w:rPr>
        <w:t>交付数量：20次现场拍摄服务，每次拍摄需交付完整素材包。</w:t>
      </w:r>
    </w:p>
    <w:p w14:paraId="2D603072">
      <w:pPr>
        <w:numPr>
          <w:ilvl w:val="0"/>
          <w:numId w:val="1"/>
        </w:numPr>
        <w:ind w:firstLineChars="0"/>
        <w:rPr>
          <w:rFonts w:ascii="Times New Roman" w:hAnsi="Times New Roman"/>
          <w:color w:val="auto"/>
        </w:rPr>
      </w:pPr>
      <w:r>
        <w:rPr>
          <w:rFonts w:hint="eastAsia" w:ascii="Times New Roman" w:hAnsi="Times New Roman"/>
          <w:color w:val="auto"/>
        </w:rPr>
        <w:t>视频剪辑制作服务</w:t>
      </w:r>
    </w:p>
    <w:p w14:paraId="5E2F61A6">
      <w:pPr>
        <w:ind w:firstLine="560" w:firstLineChars="0"/>
        <w:rPr>
          <w:rFonts w:ascii="Times New Roman" w:hAnsi="Times New Roman"/>
          <w:color w:val="auto"/>
        </w:rPr>
      </w:pPr>
      <w:r>
        <w:rPr>
          <w:rFonts w:hint="eastAsia" w:ascii="Times New Roman" w:hAnsi="Times New Roman"/>
          <w:color w:val="auto"/>
        </w:rPr>
        <w:t>1.服务内容：基于视频选题，对川超自贡相关视频、自贡国投集团其他体育赛事等素材进行创意剪辑、包装制作，包括但不限于高光集锦、球员故事、赛事花絮、文旅联动短片等，通过后期制作提升内容传播力。</w:t>
      </w:r>
    </w:p>
    <w:p w14:paraId="5AC20E25">
      <w:pPr>
        <w:ind w:firstLine="560" w:firstLineChars="0"/>
        <w:rPr>
          <w:rFonts w:ascii="Times New Roman" w:hAnsi="Times New Roman"/>
          <w:color w:val="auto"/>
        </w:rPr>
      </w:pPr>
      <w:r>
        <w:rPr>
          <w:rFonts w:hint="eastAsia" w:ascii="Times New Roman" w:hAnsi="Times New Roman"/>
          <w:color w:val="auto"/>
        </w:rPr>
        <w:t>2.执行要求：</w:t>
      </w:r>
    </w:p>
    <w:p w14:paraId="61A59069">
      <w:pPr>
        <w:ind w:firstLine="560" w:firstLineChars="0"/>
        <w:rPr>
          <w:rFonts w:ascii="Times New Roman" w:hAnsi="Times New Roman"/>
          <w:color w:val="auto"/>
        </w:rPr>
      </w:pPr>
      <w:r>
        <w:rPr>
          <w:rFonts w:hint="eastAsia" w:ascii="Times New Roman" w:hAnsi="Times New Roman"/>
          <w:color w:val="auto"/>
        </w:rPr>
        <w:t>剪辑制作需包含字体设计、版权音乐适配、画面调色、转场特效、字幕包装、LOGO植入等全流程服务，风格需适配抖音、视频号等平台传播特性，兼顾赛事的热血氛围与自贡本土特色；每条视频需提供不少于3次修改机会，根据采购人反馈调整剪辑节奏、内容呈现、包装风格，直至审核通过；所有使用的音乐、字体、素材需确保版权合规，不得侵犯第三方知识产权；</w:t>
      </w:r>
    </w:p>
    <w:p w14:paraId="27A1E65C">
      <w:pPr>
        <w:ind w:firstLine="560" w:firstLineChars="0"/>
        <w:rPr>
          <w:rFonts w:ascii="Times New Roman" w:hAnsi="Times New Roman"/>
          <w:color w:val="auto"/>
        </w:rPr>
      </w:pPr>
      <w:r>
        <w:rPr>
          <w:rFonts w:hint="eastAsia" w:ascii="Times New Roman" w:hAnsi="Times New Roman"/>
          <w:color w:val="auto"/>
        </w:rPr>
        <w:t>交付数量：150条成片视频</w:t>
      </w:r>
      <w:r>
        <w:rPr>
          <w:rFonts w:hint="eastAsia" w:ascii="Times New Roman" w:hAnsi="Times New Roman"/>
          <w:color w:val="auto"/>
          <w:lang w:eastAsia="zh-CN"/>
        </w:rPr>
        <w:t>，</w:t>
      </w:r>
      <w:r>
        <w:rPr>
          <w:rFonts w:hint="eastAsia" w:ascii="Times New Roman" w:hAnsi="Times New Roman"/>
          <w:color w:val="auto"/>
          <w:lang w:val="en-US" w:eastAsia="zh-CN"/>
        </w:rPr>
        <w:t>每个视频不低于10秒</w:t>
      </w:r>
      <w:r>
        <w:rPr>
          <w:rFonts w:hint="eastAsia" w:ascii="Times New Roman" w:hAnsi="Times New Roman"/>
          <w:color w:val="auto"/>
        </w:rPr>
        <w:t>。</w:t>
      </w:r>
    </w:p>
    <w:p w14:paraId="090F2593">
      <w:pPr>
        <w:numPr>
          <w:ilvl w:val="0"/>
          <w:numId w:val="1"/>
        </w:numPr>
        <w:ind w:firstLineChars="0"/>
        <w:rPr>
          <w:rFonts w:ascii="Times New Roman" w:hAnsi="Times New Roman"/>
          <w:color w:val="auto"/>
        </w:rPr>
      </w:pPr>
      <w:r>
        <w:rPr>
          <w:rFonts w:hint="eastAsia" w:ascii="Times New Roman" w:hAnsi="Times New Roman"/>
          <w:color w:val="auto"/>
        </w:rPr>
        <w:t xml:space="preserve"> 内容推广服务</w:t>
      </w:r>
    </w:p>
    <w:p w14:paraId="25213D30">
      <w:pPr>
        <w:ind w:firstLine="560" w:firstLineChars="0"/>
        <w:rPr>
          <w:rFonts w:ascii="Times New Roman" w:hAnsi="Times New Roman"/>
          <w:color w:val="auto"/>
        </w:rPr>
      </w:pPr>
      <w:r>
        <w:rPr>
          <w:rFonts w:hint="eastAsia" w:ascii="Times New Roman" w:hAnsi="Times New Roman"/>
          <w:color w:val="auto"/>
        </w:rPr>
        <w:t>1.  服务内容：通过抖加精细化投放、平台流量运营等方式，为川超自贡相关短视频提供推广服务，打造爆款内容，实现既定KPI考核目标，提升自贡川超相关内容的曝光量、互动量与账号粉丝量。</w:t>
      </w:r>
    </w:p>
    <w:p w14:paraId="07352A8A">
      <w:pPr>
        <w:ind w:firstLine="560" w:firstLineChars="0"/>
        <w:rPr>
          <w:rFonts w:ascii="Times New Roman" w:hAnsi="Times New Roman"/>
          <w:color w:val="auto"/>
        </w:rPr>
      </w:pPr>
      <w:r>
        <w:rPr>
          <w:rFonts w:hint="eastAsia" w:ascii="Times New Roman" w:hAnsi="Times New Roman"/>
          <w:color w:val="auto"/>
        </w:rPr>
        <w:t>2. 执行要求：</w:t>
      </w:r>
    </w:p>
    <w:p w14:paraId="1DADAA48">
      <w:pPr>
        <w:widowControl/>
        <w:ind w:firstLine="560" w:firstLineChars="0"/>
        <w:jc w:val="left"/>
        <w:rPr>
          <w:rFonts w:ascii="方正仿宋_GBK" w:hAnsi="方正仿宋_GBK" w:cs="方正仿宋_GBK"/>
          <w:color w:val="000000"/>
          <w:kern w:val="0"/>
          <w:sz w:val="32"/>
          <w:szCs w:val="32"/>
          <w:lang w:bidi="ar"/>
        </w:rPr>
      </w:pPr>
      <w:r>
        <w:rPr>
          <w:rFonts w:hint="eastAsia" w:ascii="Times New Roman" w:hAnsi="Times New Roman"/>
          <w:color w:val="auto"/>
        </w:rPr>
        <w:t>针对重点内容进行精准投放，优先推广自贡主场赛事高光、文旅联动等特色内容；需达成以下核心KPI：在抖音平台自贡教体账号上打造点赞量不低于5万的爆款视频不少于1条，点赞量不低于1万的优质视频不少于5条，服务期内抖音平台自贡教体账号粉丝数量达到5万人。</w:t>
      </w:r>
    </w:p>
    <w:p w14:paraId="2A6A3DD6">
      <w:pPr>
        <w:numPr>
          <w:ilvl w:val="0"/>
          <w:numId w:val="2"/>
        </w:numPr>
        <w:ind w:firstLine="560"/>
        <w:rPr>
          <w:rFonts w:ascii="方正黑体_GBK" w:eastAsia="方正黑体_GBK"/>
          <w:color w:val="000000"/>
          <w:szCs w:val="28"/>
        </w:rPr>
      </w:pPr>
      <w:r>
        <w:rPr>
          <w:rFonts w:ascii="方正黑体_GBK" w:eastAsia="方正黑体_GBK"/>
          <w:color w:val="000000"/>
          <w:szCs w:val="28"/>
        </w:rPr>
        <w:t>服务要求</w:t>
      </w:r>
    </w:p>
    <w:bookmarkEnd w:id="38"/>
    <w:bookmarkEnd w:id="39"/>
    <w:p w14:paraId="48D2FEA1">
      <w:pPr>
        <w:pStyle w:val="8"/>
        <w:ind w:firstLine="560"/>
        <w:rPr>
          <w:rFonts w:ascii="Times New Roman" w:hAnsi="Times New Roman"/>
          <w:color w:val="auto"/>
        </w:rPr>
      </w:pPr>
      <w:r>
        <w:rPr>
          <w:rFonts w:hint="eastAsia" w:ascii="Times New Roman" w:hAnsi="Times New Roman"/>
          <w:color w:val="auto"/>
        </w:rPr>
        <w:t>1.成交供应商具备专业团队服务此项目，团队人数不少于4人，至少配备一名无人机飞手，一名后期剪辑、一名编导、一名摄像，及时完成运营内容的生成和响应采购人需求，</w:t>
      </w:r>
      <w:r>
        <w:rPr>
          <w:rFonts w:ascii="Times New Roman" w:hAnsi="Times New Roman"/>
        </w:rPr>
        <w:t>未经采购人允许，不得随意变更团队进行中的人员配置</w:t>
      </w:r>
      <w:r>
        <w:rPr>
          <w:rFonts w:hint="eastAsia" w:ascii="Times New Roman" w:hAnsi="Times New Roman"/>
          <w:color w:val="auto"/>
        </w:rPr>
        <w:t>。</w:t>
      </w:r>
    </w:p>
    <w:p w14:paraId="617F2FB1">
      <w:pPr>
        <w:spacing w:line="550" w:lineRule="exact"/>
        <w:ind w:firstLine="560"/>
        <w:rPr>
          <w:rFonts w:ascii="Times New Roman" w:hAnsi="Times New Roman"/>
          <w:color w:val="auto"/>
        </w:rPr>
      </w:pPr>
      <w:r>
        <w:rPr>
          <w:rFonts w:hint="eastAsia" w:ascii="Times New Roman" w:hAnsi="Times New Roman"/>
          <w:color w:val="auto"/>
        </w:rPr>
        <w:t>2.成交供应商应结合各社交平台的内容属性、平台规则及受众特点，有针对性开展视频、文图内容的策划与制作。所有拟发布内容需提前提交采购人审核确认，经同意后方可发布；发布后需及时监测并回复网络互动信息，主动做好舆论正面引导，维护良好品牌形象。</w:t>
      </w:r>
    </w:p>
    <w:p w14:paraId="675584E5">
      <w:pPr>
        <w:spacing w:line="550" w:lineRule="exact"/>
        <w:ind w:firstLine="560"/>
        <w:rPr>
          <w:rFonts w:ascii="Times New Roman" w:hAnsi="Times New Roman"/>
          <w:color w:val="auto"/>
        </w:rPr>
      </w:pPr>
      <w:r>
        <w:rPr>
          <w:rFonts w:hint="eastAsia" w:ascii="Times New Roman" w:hAnsi="Times New Roman"/>
          <w:color w:val="auto"/>
        </w:rPr>
        <w:t>3.项目执行期间供应商在实施过程中接受采购人的监督和建议，根据采购人的意见进行项目实施的调整，并做好项目保障措施确保顺利完成服务。</w:t>
      </w:r>
    </w:p>
    <w:p w14:paraId="56D83F19">
      <w:pPr>
        <w:ind w:firstLine="560"/>
        <w:rPr>
          <w:rFonts w:ascii="Times New Roman" w:hAnsi="Times New Roman"/>
          <w:color w:val="auto"/>
        </w:rPr>
      </w:pPr>
      <w:r>
        <w:rPr>
          <w:rFonts w:hint="eastAsia" w:ascii="Times New Roman" w:hAnsi="Times New Roman"/>
          <w:color w:val="auto"/>
        </w:rPr>
        <w:t>4.供应商提供的服务未达到采购文件规定要求或出现质量问题等服务纠纷，且对采购人造成损失的，由供应商承担一切责任，并赔偿所造成的损失。</w:t>
      </w:r>
    </w:p>
    <w:p w14:paraId="40F9903A">
      <w:pPr>
        <w:widowControl/>
        <w:numPr>
          <w:ilvl w:val="255"/>
          <w:numId w:val="0"/>
        </w:numPr>
        <w:spacing w:line="240" w:lineRule="auto"/>
        <w:ind w:firstLine="560"/>
        <w:jc w:val="left"/>
        <w:rPr>
          <w:rFonts w:ascii="Times New Roman"/>
          <w:spacing w:val="-11"/>
          <w:sz w:val="24"/>
        </w:rPr>
      </w:pPr>
    </w:p>
    <w:p w14:paraId="411EDB5C">
      <w:pPr>
        <w:pStyle w:val="14"/>
        <w:ind w:firstLine="436"/>
        <w:rPr>
          <w:spacing w:val="-11"/>
        </w:rPr>
      </w:pPr>
    </w:p>
    <w:p w14:paraId="57D22D8A">
      <w:pPr>
        <w:ind w:firstLine="560"/>
      </w:pPr>
    </w:p>
    <w:p w14:paraId="3529EE29">
      <w:pPr>
        <w:widowControl/>
        <w:numPr>
          <w:ilvl w:val="255"/>
          <w:numId w:val="0"/>
        </w:numPr>
        <w:spacing w:line="240" w:lineRule="auto"/>
        <w:ind w:firstLine="560"/>
        <w:jc w:val="left"/>
        <w:rPr>
          <w:rFonts w:ascii="Times New Roman"/>
          <w:spacing w:val="-11"/>
          <w:sz w:val="24"/>
        </w:rPr>
      </w:pPr>
    </w:p>
    <w:p w14:paraId="24A26B5F">
      <w:pPr>
        <w:widowControl/>
        <w:numPr>
          <w:ilvl w:val="255"/>
          <w:numId w:val="0"/>
        </w:numPr>
        <w:spacing w:line="240" w:lineRule="auto"/>
        <w:ind w:firstLine="560"/>
        <w:jc w:val="left"/>
        <w:rPr>
          <w:rFonts w:ascii="Times New Roman"/>
          <w:spacing w:val="-11"/>
          <w:sz w:val="24"/>
        </w:rPr>
      </w:pPr>
    </w:p>
    <w:p w14:paraId="05FDD223">
      <w:pPr>
        <w:widowControl/>
        <w:numPr>
          <w:ilvl w:val="255"/>
          <w:numId w:val="0"/>
        </w:numPr>
        <w:spacing w:line="240" w:lineRule="auto"/>
        <w:ind w:firstLine="560"/>
        <w:jc w:val="left"/>
        <w:rPr>
          <w:rFonts w:ascii="Times New Roman"/>
          <w:spacing w:val="-11"/>
          <w:sz w:val="24"/>
        </w:rPr>
      </w:pPr>
    </w:p>
    <w:p w14:paraId="75734C26">
      <w:pPr>
        <w:pStyle w:val="25"/>
        <w:ind w:firstLine="0" w:firstLineChars="0"/>
        <w:rPr>
          <w:spacing w:val="-11"/>
          <w:sz w:val="24"/>
        </w:rPr>
      </w:pPr>
    </w:p>
    <w:p w14:paraId="633D39ED">
      <w:pPr>
        <w:widowControl/>
        <w:numPr>
          <w:ilvl w:val="255"/>
          <w:numId w:val="0"/>
        </w:numPr>
        <w:spacing w:line="240" w:lineRule="auto"/>
        <w:jc w:val="left"/>
        <w:rPr>
          <w:rFonts w:ascii="Times New Roman"/>
          <w:spacing w:val="-11"/>
          <w:sz w:val="24"/>
        </w:rPr>
      </w:pPr>
      <w:r>
        <w:rPr>
          <w:rFonts w:ascii="Times New Roman"/>
          <w:spacing w:val="-11"/>
          <w:sz w:val="24"/>
        </w:rPr>
        <w:br w:type="page"/>
      </w:r>
    </w:p>
    <w:bookmarkEnd w:id="25"/>
    <w:bookmarkEnd w:id="26"/>
    <w:bookmarkEnd w:id="27"/>
    <w:bookmarkEnd w:id="28"/>
    <w:bookmarkEnd w:id="29"/>
    <w:bookmarkEnd w:id="30"/>
    <w:bookmarkEnd w:id="31"/>
    <w:p w14:paraId="3EE41722">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40" w:name="_Toc14656"/>
      <w:bookmarkStart w:id="41" w:name="_Toc22650"/>
      <w:bookmarkStart w:id="42" w:name="_Toc2027"/>
      <w:bookmarkStart w:id="43" w:name="_Toc7095"/>
      <w:bookmarkStart w:id="44" w:name="_Toc32581"/>
      <w:bookmarkStart w:id="45" w:name="_Toc3496"/>
      <w:bookmarkStart w:id="46" w:name="_Toc105081908"/>
      <w:bookmarkStart w:id="47" w:name="_Toc194572017"/>
      <w:r>
        <w:rPr>
          <w:rFonts w:ascii="Times New Roman" w:hAnsi="Times New Roman" w:eastAsia="方正小标宋_GBK" w:cs="Times New Roman"/>
          <w:b/>
          <w:bCs/>
          <w:color w:val="auto"/>
          <w:kern w:val="44"/>
          <w:sz w:val="32"/>
          <w:szCs w:val="44"/>
        </w:rPr>
        <w:t>第三篇  项目商务要求</w:t>
      </w:r>
      <w:bookmarkEnd w:id="40"/>
      <w:bookmarkEnd w:id="41"/>
      <w:bookmarkEnd w:id="42"/>
      <w:bookmarkEnd w:id="43"/>
      <w:bookmarkEnd w:id="44"/>
      <w:bookmarkEnd w:id="45"/>
      <w:bookmarkEnd w:id="46"/>
      <w:bookmarkEnd w:id="47"/>
    </w:p>
    <w:p w14:paraId="4F584B9E">
      <w:pPr>
        <w:ind w:firstLine="560"/>
        <w:rPr>
          <w:rFonts w:ascii="Times New Roman" w:hAnsi="Times New Roman" w:eastAsia="方正黑体_GBK"/>
          <w:color w:val="auto"/>
          <w:szCs w:val="28"/>
        </w:rPr>
      </w:pPr>
      <w:bookmarkStart w:id="48" w:name="_Toc17826"/>
      <w:bookmarkStart w:id="49" w:name="_Toc267320049"/>
      <w:bookmarkStart w:id="50" w:name="_Toc105081909"/>
      <w:bookmarkStart w:id="51" w:name="_Toc4022"/>
      <w:bookmarkStart w:id="52" w:name="_Toc20306"/>
      <w:bookmarkStart w:id="53" w:name="_Toc23064"/>
      <w:bookmarkStart w:id="54" w:name="_Toc12492"/>
      <w:bookmarkStart w:id="55" w:name="_Hlk11539533"/>
      <w:r>
        <w:rPr>
          <w:rFonts w:ascii="Times New Roman" w:hAnsi="Times New Roman" w:eastAsia="方正黑体_GBK"/>
          <w:color w:val="auto"/>
          <w:szCs w:val="20"/>
        </w:rPr>
        <w:t>一、</w:t>
      </w:r>
      <w:bookmarkEnd w:id="48"/>
      <w:bookmarkEnd w:id="49"/>
      <w:r>
        <w:rPr>
          <w:rFonts w:ascii="Times New Roman" w:hAnsi="Times New Roman" w:eastAsia="方正黑体_GBK"/>
          <w:color w:val="auto"/>
          <w:szCs w:val="20"/>
        </w:rPr>
        <w:t>服务期、地点</w:t>
      </w:r>
      <w:bookmarkEnd w:id="50"/>
      <w:bookmarkEnd w:id="51"/>
      <w:bookmarkEnd w:id="52"/>
      <w:bookmarkEnd w:id="53"/>
      <w:bookmarkEnd w:id="54"/>
      <w:r>
        <w:rPr>
          <w:rFonts w:hint="eastAsia" w:ascii="Times New Roman" w:hAnsi="Times New Roman" w:eastAsia="方正黑体_GBK"/>
          <w:color w:val="auto"/>
          <w:szCs w:val="20"/>
        </w:rPr>
        <w:t>及验收方式</w:t>
      </w:r>
    </w:p>
    <w:p w14:paraId="0959C531">
      <w:pPr>
        <w:ind w:firstLine="560"/>
        <w:rPr>
          <w:rFonts w:ascii="Times New Roman" w:hAnsi="Times New Roman"/>
          <w:color w:val="auto"/>
        </w:rPr>
      </w:pPr>
      <w:r>
        <w:rPr>
          <w:rFonts w:ascii="Times New Roman" w:hAnsi="Times New Roman"/>
          <w:color w:val="auto"/>
        </w:rPr>
        <w:t>（一）服务期：</w:t>
      </w:r>
      <w:r>
        <w:rPr>
          <w:rFonts w:hint="eastAsia" w:ascii="仿宋_GB2312" w:hAnsi="仿宋_GB2312" w:eastAsia="仿宋_GB2312" w:cs="仿宋_GB2312"/>
          <w:szCs w:val="28"/>
        </w:rPr>
        <w:t>自合同签订之日起至采购人书面通知供应商全套移交宣传资料和宣传效果报告并经采购人最终验收合格出具书面验收合格报告止。具体每项服务的期限以甲乙双方友好协商确定为准</w:t>
      </w:r>
    </w:p>
    <w:p w14:paraId="53EEA5A4">
      <w:pPr>
        <w:ind w:firstLine="560"/>
        <w:rPr>
          <w:rFonts w:ascii="Times New Roman" w:hAnsi="Times New Roman"/>
          <w:color w:val="auto"/>
        </w:rPr>
      </w:pPr>
      <w:r>
        <w:rPr>
          <w:rFonts w:ascii="Times New Roman" w:hAnsi="Times New Roman"/>
          <w:color w:val="auto"/>
        </w:rPr>
        <w:t>（二）服务地点：</w:t>
      </w:r>
      <w:r>
        <w:rPr>
          <w:rFonts w:ascii="Times New Roman" w:hAnsi="Times New Roman"/>
          <w:color w:val="auto"/>
          <w:szCs w:val="28"/>
        </w:rPr>
        <w:t>采购人指定地点</w:t>
      </w:r>
    </w:p>
    <w:p w14:paraId="0555714E">
      <w:pPr>
        <w:ind w:firstLine="560"/>
        <w:rPr>
          <w:rFonts w:ascii="Times New Roman" w:hAnsi="Times New Roman"/>
          <w:color w:val="auto"/>
          <w:szCs w:val="28"/>
        </w:rPr>
      </w:pPr>
      <w:r>
        <w:rPr>
          <w:rFonts w:ascii="Times New Roman" w:hAnsi="Times New Roman"/>
          <w:color w:val="auto"/>
        </w:rPr>
        <w:t>（三）验收方式</w:t>
      </w:r>
      <w:r>
        <w:rPr>
          <w:rFonts w:hint="eastAsia" w:ascii="Times New Roman" w:hAnsi="Times New Roman"/>
          <w:color w:val="auto"/>
        </w:rPr>
        <w:t>/标准</w:t>
      </w:r>
      <w:r>
        <w:rPr>
          <w:rFonts w:ascii="Times New Roman" w:hAnsi="Times New Roman"/>
          <w:color w:val="auto"/>
        </w:rPr>
        <w:t>：</w:t>
      </w:r>
      <w:r>
        <w:rPr>
          <w:rFonts w:hint="eastAsia" w:ascii="方正仿宋_GBK" w:hAnsi="方正仿宋_GBK" w:cs="方正仿宋_GBK"/>
          <w:bCs/>
          <w:szCs w:val="28"/>
        </w:rPr>
        <w:t>项目执行完毕，向采购人提供验收材料，包括但不限于宣传情况总结等，以采购人书面验收为准。</w:t>
      </w:r>
    </w:p>
    <w:p w14:paraId="39E85FF4">
      <w:pPr>
        <w:ind w:firstLine="560"/>
        <w:rPr>
          <w:rFonts w:ascii="Times New Roman" w:hAnsi="Times New Roman" w:eastAsia="方正黑体_GBK"/>
          <w:color w:val="auto"/>
          <w:szCs w:val="20"/>
        </w:rPr>
      </w:pPr>
      <w:bookmarkStart w:id="56" w:name="_Toc31339"/>
      <w:bookmarkStart w:id="57" w:name="_Toc12735"/>
      <w:bookmarkStart w:id="58" w:name="_Toc1991"/>
      <w:bookmarkStart w:id="59" w:name="_Toc10611"/>
      <w:bookmarkStart w:id="60" w:name="_Toc105081910"/>
      <w:bookmarkStart w:id="61" w:name="_Toc10219"/>
      <w:bookmarkStart w:id="62" w:name="_Toc267320050"/>
      <w:r>
        <w:rPr>
          <w:rFonts w:ascii="Times New Roman" w:hAnsi="Times New Roman" w:eastAsia="方正黑体_GBK"/>
          <w:color w:val="auto"/>
          <w:szCs w:val="20"/>
        </w:rPr>
        <w:t>二、报价要求</w:t>
      </w:r>
      <w:bookmarkEnd w:id="56"/>
      <w:bookmarkEnd w:id="57"/>
      <w:bookmarkEnd w:id="58"/>
      <w:bookmarkEnd w:id="59"/>
      <w:bookmarkEnd w:id="60"/>
      <w:bookmarkEnd w:id="61"/>
    </w:p>
    <w:bookmarkEnd w:id="62"/>
    <w:p w14:paraId="22B5EA56">
      <w:pPr>
        <w:ind w:firstLine="560"/>
        <w:rPr>
          <w:rFonts w:ascii="Times New Roman" w:hAnsi="Times New Roman"/>
          <w:color w:val="auto"/>
        </w:rPr>
      </w:pPr>
      <w:bookmarkStart w:id="63" w:name="_Toc29796"/>
      <w:bookmarkStart w:id="64" w:name="_Toc267320051"/>
      <w:bookmarkStart w:id="65" w:name="_Toc10958"/>
      <w:bookmarkStart w:id="66" w:name="_Toc16784"/>
      <w:bookmarkStart w:id="67" w:name="_Toc1752"/>
      <w:bookmarkStart w:id="68" w:name="_Toc9507"/>
      <w:r>
        <w:rPr>
          <w:rFonts w:ascii="Times New Roman" w:hAnsi="Times New Roman"/>
          <w:color w:val="auto"/>
        </w:rPr>
        <w:t>本次报价须为人民币报价，包</w:t>
      </w:r>
      <w:r>
        <w:rPr>
          <w:rFonts w:hint="eastAsia" w:ascii="Times New Roman" w:hAnsi="Times New Roman"/>
          <w:color w:val="auto"/>
        </w:rPr>
        <w:t>含</w:t>
      </w:r>
      <w:r>
        <w:rPr>
          <w:rFonts w:ascii="Times New Roman" w:hAnsi="Times New Roman"/>
          <w:color w:val="auto"/>
        </w:rPr>
        <w:t>：</w:t>
      </w:r>
      <w:r>
        <w:rPr>
          <w:rFonts w:hint="eastAsia" w:ascii="Times New Roman" w:hAnsi="Times New Roman"/>
          <w:color w:val="auto"/>
        </w:rPr>
        <w:t>人员运营、素材购买、内容策划制作、差旅等</w:t>
      </w:r>
      <w:r>
        <w:rPr>
          <w:rFonts w:ascii="Times New Roman" w:hAnsi="Times New Roman"/>
          <w:color w:val="auto"/>
        </w:rPr>
        <w:t>所有费用，采购人不再为此向中选</w:t>
      </w:r>
      <w:r>
        <w:rPr>
          <w:rFonts w:hint="eastAsia" w:ascii="Times New Roman" w:hAnsi="Times New Roman"/>
          <w:color w:val="auto"/>
        </w:rPr>
        <w:t>参选人</w:t>
      </w:r>
      <w:r>
        <w:rPr>
          <w:rFonts w:ascii="Times New Roman" w:hAnsi="Times New Roman"/>
          <w:color w:val="auto"/>
        </w:rPr>
        <w:t>支付其他任何费用，合同中另有规定的除外。因</w:t>
      </w:r>
      <w:r>
        <w:rPr>
          <w:rFonts w:hint="eastAsia" w:ascii="Times New Roman" w:hAnsi="Times New Roman"/>
          <w:color w:val="auto"/>
        </w:rPr>
        <w:t>参选人</w:t>
      </w:r>
      <w:r>
        <w:rPr>
          <w:rFonts w:ascii="Times New Roman" w:hAnsi="Times New Roman"/>
          <w:color w:val="auto"/>
        </w:rPr>
        <w:t>自身原因造成漏报、少报皆由其自行承担责任，采购人不再补偿。</w:t>
      </w:r>
    </w:p>
    <w:p w14:paraId="37EB9ECA">
      <w:pPr>
        <w:numPr>
          <w:ilvl w:val="0"/>
          <w:numId w:val="3"/>
        </w:numPr>
        <w:snapToGrid w:val="0"/>
        <w:spacing w:line="550" w:lineRule="exact"/>
        <w:ind w:firstLine="560"/>
        <w:rPr>
          <w:rFonts w:ascii="方正黑体_GBK" w:eastAsia="方正黑体_GBK"/>
          <w:color w:val="000000"/>
          <w:szCs w:val="28"/>
        </w:rPr>
      </w:pPr>
      <w:bookmarkStart w:id="69" w:name="_Toc106030387"/>
      <w:bookmarkStart w:id="70" w:name="_Toc105081911"/>
      <w:r>
        <w:rPr>
          <w:rFonts w:hint="eastAsia" w:ascii="方正黑体_GBK" w:eastAsia="方正黑体_GBK"/>
          <w:color w:val="000000"/>
          <w:szCs w:val="28"/>
        </w:rPr>
        <w:t>质量保证服务</w:t>
      </w:r>
      <w:bookmarkEnd w:id="69"/>
    </w:p>
    <w:p w14:paraId="1B1ECE7D">
      <w:pPr>
        <w:snapToGrid w:val="0"/>
        <w:spacing w:line="550" w:lineRule="exact"/>
        <w:ind w:firstLine="560"/>
        <w:rPr>
          <w:color w:val="000000"/>
          <w:szCs w:val="28"/>
        </w:rPr>
      </w:pPr>
      <w:r>
        <w:rPr>
          <w:rFonts w:hint="eastAsia"/>
          <w:color w:val="000000"/>
          <w:szCs w:val="28"/>
        </w:rPr>
        <w:t>1.一旦发布内容出现负面舆情或违规风险，中选人需2小时内响应，第一时间协调平台，并同步采购人制定处置方案，最大限度减少负面影响。</w:t>
      </w:r>
    </w:p>
    <w:p w14:paraId="07E4579F">
      <w:pPr>
        <w:snapToGrid w:val="0"/>
        <w:spacing w:line="550" w:lineRule="exact"/>
        <w:ind w:firstLine="560"/>
        <w:rPr>
          <w:color w:val="000000"/>
          <w:szCs w:val="28"/>
        </w:rPr>
      </w:pPr>
      <w:r>
        <w:rPr>
          <w:rFonts w:hint="eastAsia"/>
          <w:color w:val="000000"/>
          <w:szCs w:val="28"/>
        </w:rPr>
        <w:t>2.若采购人发现视频存在质量问题（如内容错误、侵权、数据造假等），中选人需在24小时内完成核查并整改。因中选人服务质量问题对采购人造成损失的，中选人承担全部责任并予以赔偿。</w:t>
      </w:r>
    </w:p>
    <w:p w14:paraId="5E0229CE">
      <w:pPr>
        <w:snapToGrid w:val="0"/>
        <w:spacing w:line="550" w:lineRule="exact"/>
        <w:ind w:firstLine="560"/>
        <w:rPr>
          <w:rFonts w:hint="eastAsia"/>
          <w:color w:val="000000"/>
          <w:szCs w:val="28"/>
        </w:rPr>
      </w:pPr>
      <w:r>
        <w:rPr>
          <w:rFonts w:hint="eastAsia"/>
          <w:color w:val="000000"/>
          <w:szCs w:val="28"/>
        </w:rPr>
        <w:t>3.服务期内，中选人需定时向采购人汇报数据情况，并根据反馈及时调整选题与运营策略，确保传播效果持续提升。</w:t>
      </w:r>
    </w:p>
    <w:p w14:paraId="6CEE68BC">
      <w:pPr>
        <w:snapToGrid w:val="0"/>
        <w:spacing w:line="550" w:lineRule="exact"/>
        <w:ind w:firstLine="560"/>
        <w:rPr>
          <w:rFonts w:hint="eastAsia"/>
          <w:color w:val="000000"/>
          <w:szCs w:val="28"/>
        </w:rPr>
      </w:pPr>
    </w:p>
    <w:p w14:paraId="140AA2C6">
      <w:pPr>
        <w:spacing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四、</w:t>
      </w:r>
      <w:r>
        <w:rPr>
          <w:rFonts w:ascii="Times New Roman" w:hAnsi="Times New Roman" w:eastAsia="方正黑体_GBK"/>
          <w:color w:val="auto"/>
          <w:szCs w:val="20"/>
        </w:rPr>
        <w:t>付款方式</w:t>
      </w:r>
    </w:p>
    <w:p w14:paraId="77133EB9">
      <w:pPr>
        <w:widowControl/>
        <w:ind w:firstLine="560" w:firstLineChars="0"/>
        <w:jc w:val="left"/>
        <w:rPr>
          <w:rFonts w:ascii="Times New Roman" w:hAnsi="Times New Roman"/>
          <w:color w:val="auto"/>
        </w:rPr>
      </w:pPr>
      <w:r>
        <w:rPr>
          <w:rFonts w:hint="eastAsia" w:ascii="Times New Roman" w:hAnsi="Times New Roman"/>
          <w:color w:val="auto"/>
        </w:rPr>
        <w:t>1.</w:t>
      </w:r>
      <w:r>
        <w:rPr>
          <w:rFonts w:ascii="Times New Roman" w:hAnsi="Times New Roman"/>
          <w:color w:val="auto"/>
        </w:rPr>
        <w:t>合同签订后，</w:t>
      </w:r>
      <w:r>
        <w:rPr>
          <w:rFonts w:hint="eastAsia" w:ascii="Times New Roman" w:hAnsi="Times New Roman"/>
          <w:color w:val="auto"/>
        </w:rPr>
        <w:t>采购人</w:t>
      </w:r>
      <w:r>
        <w:rPr>
          <w:rFonts w:ascii="Times New Roman" w:hAnsi="Times New Roman"/>
          <w:color w:val="auto"/>
        </w:rPr>
        <w:t>在收到</w:t>
      </w:r>
      <w:r>
        <w:rPr>
          <w:rFonts w:hint="eastAsia" w:ascii="Times New Roman" w:hAnsi="Times New Roman"/>
          <w:color w:val="auto"/>
        </w:rPr>
        <w:t>中选人</w:t>
      </w:r>
      <w:r>
        <w:rPr>
          <w:rFonts w:ascii="Times New Roman" w:hAnsi="Times New Roman"/>
          <w:color w:val="auto"/>
        </w:rPr>
        <w:t>正式合法有效发票后10个工作日内向</w:t>
      </w:r>
      <w:r>
        <w:rPr>
          <w:rFonts w:hint="eastAsia" w:ascii="Times New Roman" w:hAnsi="Times New Roman"/>
          <w:color w:val="auto"/>
        </w:rPr>
        <w:t>中选人</w:t>
      </w:r>
      <w:r>
        <w:rPr>
          <w:rFonts w:ascii="Times New Roman" w:hAnsi="Times New Roman"/>
          <w:color w:val="auto"/>
        </w:rPr>
        <w:t>支付合同总金额的20%作为预付款</w:t>
      </w:r>
      <w:r>
        <w:rPr>
          <w:rFonts w:hint="eastAsia" w:ascii="Times New Roman" w:hAnsi="Times New Roman"/>
          <w:color w:val="auto"/>
        </w:rPr>
        <w:t>；</w:t>
      </w:r>
    </w:p>
    <w:p w14:paraId="385A3346">
      <w:pPr>
        <w:widowControl/>
        <w:ind w:firstLine="560" w:firstLineChars="0"/>
        <w:jc w:val="left"/>
        <w:rPr>
          <w:rFonts w:ascii="Times New Roman" w:hAnsi="Times New Roman"/>
          <w:color w:val="auto"/>
        </w:rPr>
      </w:pPr>
      <w:r>
        <w:rPr>
          <w:rFonts w:ascii="Times New Roman" w:hAnsi="Times New Roman"/>
          <w:color w:val="auto"/>
        </w:rPr>
        <w:t>2.2025\2026川超决赛阶段结束后</w:t>
      </w:r>
      <w:r>
        <w:rPr>
          <w:rFonts w:hint="eastAsia" w:ascii="Times New Roman" w:hAnsi="Times New Roman"/>
          <w:color w:val="auto"/>
        </w:rPr>
        <w:t>，采购人</w:t>
      </w:r>
      <w:r>
        <w:rPr>
          <w:rFonts w:ascii="Times New Roman" w:hAnsi="Times New Roman"/>
          <w:color w:val="auto"/>
        </w:rPr>
        <w:t>在收到</w:t>
      </w:r>
      <w:r>
        <w:rPr>
          <w:rFonts w:hint="eastAsia" w:ascii="Times New Roman" w:hAnsi="Times New Roman"/>
          <w:color w:val="auto"/>
        </w:rPr>
        <w:t>中选人</w:t>
      </w:r>
      <w:r>
        <w:rPr>
          <w:rFonts w:ascii="Times New Roman" w:hAnsi="Times New Roman"/>
          <w:color w:val="auto"/>
        </w:rPr>
        <w:t>正式合法有效发票后10个工作日内向</w:t>
      </w:r>
      <w:r>
        <w:rPr>
          <w:rFonts w:hint="eastAsia" w:ascii="Times New Roman" w:hAnsi="Times New Roman"/>
          <w:color w:val="auto"/>
        </w:rPr>
        <w:t>中选人</w:t>
      </w:r>
      <w:r>
        <w:rPr>
          <w:rFonts w:ascii="Times New Roman" w:hAnsi="Times New Roman"/>
          <w:color w:val="auto"/>
        </w:rPr>
        <w:t>支付本合同总金额的50%;</w:t>
      </w:r>
    </w:p>
    <w:p w14:paraId="776DC5D7">
      <w:pPr>
        <w:widowControl/>
        <w:ind w:firstLine="560" w:firstLineChars="0"/>
        <w:jc w:val="left"/>
        <w:rPr>
          <w:rFonts w:ascii="Times New Roman" w:hAnsi="Times New Roman"/>
          <w:color w:val="auto"/>
        </w:rPr>
      </w:pPr>
      <w:r>
        <w:rPr>
          <w:rFonts w:ascii="Times New Roman" w:hAnsi="Times New Roman"/>
          <w:color w:val="auto"/>
        </w:rPr>
        <w:t>3.服务结束后，</w:t>
      </w:r>
      <w:r>
        <w:rPr>
          <w:rFonts w:hint="eastAsia" w:ascii="Times New Roman" w:hAnsi="Times New Roman"/>
          <w:color w:val="auto"/>
        </w:rPr>
        <w:t>中选人</w:t>
      </w:r>
      <w:r>
        <w:rPr>
          <w:rFonts w:ascii="Times New Roman" w:hAnsi="Times New Roman"/>
          <w:color w:val="auto"/>
        </w:rPr>
        <w:t>向</w:t>
      </w:r>
      <w:r>
        <w:rPr>
          <w:rFonts w:hint="eastAsia" w:ascii="Times New Roman" w:hAnsi="Times New Roman"/>
          <w:color w:val="auto"/>
        </w:rPr>
        <w:t>采购人</w:t>
      </w:r>
      <w:r>
        <w:rPr>
          <w:rFonts w:ascii="Times New Roman" w:hAnsi="Times New Roman"/>
          <w:color w:val="auto"/>
        </w:rPr>
        <w:t>全套移交宣传资料和宣传效果评估报告并经</w:t>
      </w:r>
      <w:r>
        <w:rPr>
          <w:rFonts w:hint="eastAsia" w:ascii="Times New Roman" w:hAnsi="Times New Roman"/>
          <w:color w:val="auto"/>
        </w:rPr>
        <w:t>采购人</w:t>
      </w:r>
      <w:r>
        <w:rPr>
          <w:rFonts w:ascii="Times New Roman" w:hAnsi="Times New Roman"/>
          <w:color w:val="auto"/>
        </w:rPr>
        <w:t>最终验收合格后</w:t>
      </w:r>
      <w:r>
        <w:rPr>
          <w:rFonts w:hint="eastAsia" w:ascii="Times New Roman" w:hAnsi="Times New Roman"/>
          <w:color w:val="auto"/>
        </w:rPr>
        <w:t>，采购人</w:t>
      </w:r>
      <w:r>
        <w:rPr>
          <w:rFonts w:ascii="Times New Roman" w:hAnsi="Times New Roman"/>
          <w:color w:val="auto"/>
        </w:rPr>
        <w:t>在收到</w:t>
      </w:r>
      <w:r>
        <w:rPr>
          <w:rFonts w:hint="eastAsia" w:ascii="Times New Roman" w:hAnsi="Times New Roman"/>
          <w:color w:val="auto"/>
        </w:rPr>
        <w:t>中选人</w:t>
      </w:r>
      <w:r>
        <w:rPr>
          <w:rFonts w:ascii="Times New Roman" w:hAnsi="Times New Roman"/>
          <w:color w:val="auto"/>
        </w:rPr>
        <w:t>正式合法有效发票后10个工作日内向</w:t>
      </w:r>
      <w:r>
        <w:rPr>
          <w:rFonts w:hint="eastAsia" w:ascii="Times New Roman" w:hAnsi="Times New Roman"/>
          <w:color w:val="auto"/>
        </w:rPr>
        <w:t>中选人支付合同金额的</w:t>
      </w:r>
      <w:r>
        <w:rPr>
          <w:rFonts w:ascii="Times New Roman" w:hAnsi="Times New Roman"/>
          <w:color w:val="auto"/>
        </w:rPr>
        <w:t>30%。</w:t>
      </w:r>
    </w:p>
    <w:p w14:paraId="494BB8E6">
      <w:pPr>
        <w:pStyle w:val="8"/>
        <w:spacing w:after="0" w:line="550" w:lineRule="exact"/>
        <w:ind w:firstLine="560"/>
        <w:jc w:val="left"/>
        <w:rPr>
          <w:rFonts w:ascii="Times New Roman" w:hAnsi="Times New Roman"/>
          <w:color w:val="auto"/>
        </w:rPr>
      </w:pPr>
      <w:r>
        <w:rPr>
          <w:rFonts w:hint="eastAsia" w:ascii="Times New Roman" w:hAnsi="Times New Roman"/>
          <w:color w:val="auto"/>
        </w:rPr>
        <w:t>4</w:t>
      </w:r>
      <w:r>
        <w:rPr>
          <w:rFonts w:ascii="Times New Roman" w:hAnsi="Times New Roman"/>
          <w:color w:val="auto"/>
        </w:rPr>
        <w:t>.每次支付款项前，</w:t>
      </w:r>
      <w:r>
        <w:rPr>
          <w:rFonts w:hint="eastAsia" w:ascii="Times New Roman" w:hAnsi="Times New Roman"/>
          <w:color w:val="auto"/>
        </w:rPr>
        <w:t>中</w:t>
      </w:r>
      <w:r>
        <w:rPr>
          <w:rFonts w:ascii="Times New Roman" w:hAnsi="Times New Roman"/>
          <w:color w:val="auto"/>
        </w:rPr>
        <w:t>选人应向采购方开具合法有效的增值税发票</w:t>
      </w:r>
      <w:r>
        <w:rPr>
          <w:rFonts w:hint="eastAsia" w:ascii="Times New Roman" w:hAnsi="Times New Roman"/>
          <w:color w:val="auto"/>
        </w:rPr>
        <w:t>。若</w:t>
      </w:r>
      <w:r>
        <w:rPr>
          <w:rFonts w:ascii="Times New Roman" w:hAnsi="Times New Roman"/>
          <w:color w:val="auto"/>
        </w:rPr>
        <w:t>支付款项前，</w:t>
      </w:r>
      <w:r>
        <w:rPr>
          <w:rFonts w:hint="eastAsia" w:ascii="Times New Roman" w:hAnsi="Times New Roman"/>
          <w:color w:val="auto"/>
        </w:rPr>
        <w:t>中</w:t>
      </w:r>
      <w:r>
        <w:rPr>
          <w:rFonts w:ascii="Times New Roman" w:hAnsi="Times New Roman"/>
          <w:color w:val="auto"/>
        </w:rPr>
        <w:t>选人未提供合法有效的</w:t>
      </w:r>
      <w:r>
        <w:rPr>
          <w:rFonts w:hint="eastAsia" w:ascii="Times New Roman" w:hAnsi="Times New Roman"/>
          <w:color w:val="auto"/>
        </w:rPr>
        <w:t>等额</w:t>
      </w:r>
      <w:r>
        <w:rPr>
          <w:rFonts w:ascii="Times New Roman" w:hAnsi="Times New Roman"/>
          <w:color w:val="auto"/>
        </w:rPr>
        <w:t>增值税</w:t>
      </w:r>
      <w:r>
        <w:rPr>
          <w:rFonts w:hint="eastAsia" w:ascii="Times New Roman" w:hAnsi="Times New Roman"/>
          <w:color w:val="auto"/>
        </w:rPr>
        <w:t>发票</w:t>
      </w:r>
      <w:r>
        <w:rPr>
          <w:rFonts w:ascii="Times New Roman" w:hAnsi="Times New Roman"/>
          <w:color w:val="auto"/>
        </w:rPr>
        <w:t>，采购</w:t>
      </w:r>
      <w:r>
        <w:rPr>
          <w:rFonts w:hint="eastAsia" w:ascii="Times New Roman" w:hAnsi="Times New Roman"/>
          <w:color w:val="auto"/>
        </w:rPr>
        <w:t>人</w:t>
      </w:r>
      <w:r>
        <w:rPr>
          <w:rFonts w:ascii="Times New Roman" w:hAnsi="Times New Roman"/>
          <w:color w:val="auto"/>
        </w:rPr>
        <w:t>有权顺延付款时间且不承担任何逾期付款的违约责任。</w:t>
      </w:r>
    </w:p>
    <w:p w14:paraId="790129B1">
      <w:pPr>
        <w:spacing w:line="550" w:lineRule="exact"/>
        <w:ind w:firstLine="560"/>
        <w:jc w:val="left"/>
        <w:rPr>
          <w:rFonts w:ascii="Times New Roman" w:hAnsi="Times New Roman" w:eastAsia="方正黑体_GBK" w:cs="仿宋"/>
          <w:color w:val="auto"/>
          <w:kern w:val="0"/>
          <w:szCs w:val="20"/>
        </w:rPr>
      </w:pPr>
      <w:r>
        <w:rPr>
          <w:rFonts w:hint="eastAsia" w:ascii="Times New Roman" w:hAnsi="Times New Roman" w:eastAsia="方正黑体_GBK" w:cs="仿宋"/>
          <w:color w:val="auto"/>
          <w:kern w:val="0"/>
          <w:szCs w:val="20"/>
        </w:rPr>
        <w:t>五、知识产权</w:t>
      </w:r>
    </w:p>
    <w:p w14:paraId="3CA958D9">
      <w:pPr>
        <w:snapToGrid w:val="0"/>
        <w:spacing w:line="550" w:lineRule="exact"/>
        <w:ind w:firstLine="560"/>
        <w:jc w:val="left"/>
        <w:rPr>
          <w:rFonts w:ascii="仿宋" w:hAnsi="仿宋" w:eastAsia="仿宋" w:cs="仿宋"/>
          <w:kern w:val="0"/>
          <w:szCs w:val="28"/>
        </w:rPr>
      </w:pPr>
      <w:r>
        <w:rPr>
          <w:rFonts w:hint="eastAsia" w:ascii="仿宋" w:hAnsi="仿宋" w:eastAsia="仿宋" w:cs="仿宋"/>
          <w:kern w:val="0"/>
          <w:szCs w:val="28"/>
        </w:rPr>
        <w:t>采购人在中华人民共和国境内使用参选人提供的货物及服务时免受第三方提出的侵犯其专利权或其他知识产权的起诉。如果第三方提出侵权指控，成交参选人应承担由此而引起的一切法律责任和费用。</w:t>
      </w:r>
    </w:p>
    <w:p w14:paraId="47C245E3">
      <w:pPr>
        <w:spacing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六、</w:t>
      </w:r>
      <w:r>
        <w:rPr>
          <w:rFonts w:ascii="Times New Roman" w:hAnsi="Times New Roman" w:eastAsia="方正黑体_GBK"/>
          <w:color w:val="auto"/>
          <w:szCs w:val="20"/>
        </w:rPr>
        <w:t>保密要求</w:t>
      </w:r>
    </w:p>
    <w:p w14:paraId="02FFF321">
      <w:pPr>
        <w:snapToGrid w:val="0"/>
        <w:spacing w:line="550" w:lineRule="exact"/>
        <w:ind w:firstLine="560"/>
        <w:jc w:val="left"/>
        <w:rPr>
          <w:rFonts w:ascii="仿宋" w:hAnsi="仿宋" w:eastAsia="仿宋" w:cs="仿宋"/>
          <w:kern w:val="0"/>
          <w:szCs w:val="28"/>
        </w:rPr>
      </w:pPr>
      <w:r>
        <w:rPr>
          <w:rFonts w:hint="eastAsia" w:ascii="仿宋" w:hAnsi="仿宋" w:eastAsia="仿宋" w:cs="仿宋"/>
          <w:kern w:val="0"/>
          <w:szCs w:val="28"/>
        </w:rPr>
        <w:t>未经采购方许可，参选方不得向第三方（有关法律法规、政府部门、证券交易所或其他监管机构要求和第三方的法律、会计、商业及其他顾问、雇员除外）泄露本项目的条款的任何内容以及履行情况，否则，采购方有权利向参选人请求损失赔偿，并依法追究法律责任。</w:t>
      </w:r>
    </w:p>
    <w:p w14:paraId="301EEE6A">
      <w:pPr>
        <w:pStyle w:val="8"/>
        <w:spacing w:after="0" w:line="550" w:lineRule="exact"/>
        <w:ind w:firstLine="560"/>
        <w:rPr>
          <w:rFonts w:ascii="Times New Roman" w:hAnsi="Times New Roman" w:eastAsia="方正黑体_GBK"/>
          <w:color w:val="auto"/>
          <w:szCs w:val="20"/>
        </w:rPr>
      </w:pPr>
      <w:r>
        <w:rPr>
          <w:rFonts w:hint="eastAsia" w:ascii="Times New Roman" w:hAnsi="Times New Roman" w:eastAsia="方正黑体_GBK"/>
          <w:color w:val="auto"/>
          <w:szCs w:val="20"/>
        </w:rPr>
        <w:t>七、</w:t>
      </w:r>
      <w:r>
        <w:rPr>
          <w:rFonts w:ascii="Times New Roman" w:hAnsi="Times New Roman" w:eastAsia="方正黑体_GBK"/>
          <w:color w:val="auto"/>
          <w:szCs w:val="20"/>
        </w:rPr>
        <w:t>其他商务要求内容</w:t>
      </w:r>
    </w:p>
    <w:p w14:paraId="2DAD1F8B">
      <w:pPr>
        <w:spacing w:line="550" w:lineRule="exact"/>
        <w:ind w:firstLine="560"/>
        <w:rPr>
          <w:rFonts w:ascii="Times New Roman" w:hAnsi="Times New Roman"/>
          <w:color w:val="auto"/>
        </w:rPr>
      </w:pPr>
      <w:r>
        <w:rPr>
          <w:rFonts w:ascii="Times New Roman" w:hAnsi="Times New Roman"/>
          <w:color w:val="auto"/>
        </w:rPr>
        <w:t>（一）未经采购人的同意，项目中选</w:t>
      </w:r>
      <w:r>
        <w:rPr>
          <w:rFonts w:hint="eastAsia" w:ascii="Times New Roman" w:hAnsi="Times New Roman"/>
          <w:color w:val="auto"/>
        </w:rPr>
        <w:t>参选人</w:t>
      </w:r>
      <w:r>
        <w:rPr>
          <w:rFonts w:ascii="Times New Roman" w:hAnsi="Times New Roman"/>
          <w:color w:val="auto"/>
        </w:rPr>
        <w:t>不得将中选的项目分包、转让给其他单位。否则，采购人可随时取消其中选资格，由此给采购人和中选</w:t>
      </w:r>
      <w:r>
        <w:rPr>
          <w:rFonts w:hint="eastAsia" w:ascii="Times New Roman" w:hAnsi="Times New Roman"/>
          <w:color w:val="auto"/>
        </w:rPr>
        <w:t>参选人</w:t>
      </w:r>
      <w:r>
        <w:rPr>
          <w:rFonts w:ascii="Times New Roman" w:hAnsi="Times New Roman"/>
          <w:color w:val="auto"/>
        </w:rPr>
        <w:t>造成的经济损失均由中选</w:t>
      </w:r>
      <w:r>
        <w:rPr>
          <w:rFonts w:hint="eastAsia" w:ascii="Times New Roman" w:hAnsi="Times New Roman"/>
          <w:color w:val="auto"/>
        </w:rPr>
        <w:t>参选人</w:t>
      </w:r>
      <w:r>
        <w:rPr>
          <w:rFonts w:ascii="Times New Roman" w:hAnsi="Times New Roman"/>
          <w:color w:val="auto"/>
        </w:rPr>
        <w:t>全部承担。</w:t>
      </w:r>
    </w:p>
    <w:p w14:paraId="659FE977">
      <w:pPr>
        <w:spacing w:line="550" w:lineRule="exact"/>
        <w:ind w:firstLine="560" w:firstLineChars="0"/>
        <w:rPr>
          <w:rFonts w:ascii="Times New Roman" w:hAnsi="Times New Roman"/>
          <w:color w:val="auto"/>
        </w:rPr>
      </w:pPr>
      <w:r>
        <w:rPr>
          <w:rFonts w:ascii="Times New Roman" w:hAnsi="Times New Roman"/>
          <w:color w:val="auto"/>
        </w:rPr>
        <w:t>（二）其他未尽事宜由供需双方在采购合同中详细约定。</w:t>
      </w:r>
      <w:bookmarkEnd w:id="55"/>
      <w:bookmarkEnd w:id="63"/>
      <w:bookmarkEnd w:id="64"/>
      <w:bookmarkEnd w:id="65"/>
      <w:bookmarkEnd w:id="66"/>
      <w:bookmarkEnd w:id="67"/>
      <w:bookmarkEnd w:id="68"/>
      <w:bookmarkEnd w:id="70"/>
      <w:bookmarkStart w:id="71" w:name="_Toc17562"/>
      <w:bookmarkStart w:id="72" w:name="_Toc10303"/>
      <w:bookmarkStart w:id="73" w:name="_Toc6979"/>
      <w:bookmarkStart w:id="74" w:name="_Toc10997"/>
      <w:bookmarkStart w:id="75" w:name="_Toc105081922"/>
      <w:bookmarkStart w:id="76" w:name="_Toc10285"/>
      <w:bookmarkStart w:id="77" w:name="_Toc15237"/>
      <w:bookmarkStart w:id="78" w:name="_Toc194572018"/>
    </w:p>
    <w:p w14:paraId="42CC6F7E">
      <w:pPr>
        <w:pStyle w:val="14"/>
        <w:ind w:firstLine="480"/>
      </w:pPr>
    </w:p>
    <w:p w14:paraId="37DE18E1">
      <w:pPr>
        <w:ind w:firstLine="560"/>
      </w:pPr>
    </w:p>
    <w:p w14:paraId="5E6D3CFD">
      <w:pPr>
        <w:ind w:firstLine="560"/>
      </w:pPr>
    </w:p>
    <w:p w14:paraId="1FC99A2B">
      <w:pPr>
        <w:ind w:firstLine="560"/>
      </w:pPr>
    </w:p>
    <w:p w14:paraId="142C1873">
      <w:pPr>
        <w:ind w:firstLine="560"/>
      </w:pPr>
    </w:p>
    <w:p w14:paraId="7AB2A96C">
      <w:pPr>
        <w:ind w:firstLine="560"/>
      </w:pPr>
    </w:p>
    <w:p w14:paraId="331A9689">
      <w:pPr>
        <w:ind w:firstLine="560"/>
      </w:pPr>
    </w:p>
    <w:p w14:paraId="1E0DDAD1">
      <w:pPr>
        <w:ind w:firstLine="560"/>
      </w:pPr>
    </w:p>
    <w:p w14:paraId="14903DA0">
      <w:pPr>
        <w:ind w:firstLine="560"/>
      </w:pPr>
    </w:p>
    <w:p w14:paraId="7C98D15A">
      <w:pPr>
        <w:ind w:firstLine="560"/>
      </w:pPr>
    </w:p>
    <w:p w14:paraId="0DA46CAC">
      <w:pPr>
        <w:ind w:firstLine="560"/>
      </w:pPr>
    </w:p>
    <w:p w14:paraId="77E9C970">
      <w:pPr>
        <w:ind w:firstLine="560"/>
      </w:pPr>
    </w:p>
    <w:p w14:paraId="5EE1CE6A">
      <w:pPr>
        <w:ind w:firstLine="560"/>
      </w:pPr>
    </w:p>
    <w:p w14:paraId="17B894BF">
      <w:pPr>
        <w:ind w:firstLine="560"/>
      </w:pPr>
    </w:p>
    <w:p w14:paraId="1F2F2DDE">
      <w:pPr>
        <w:ind w:firstLine="560"/>
      </w:pPr>
    </w:p>
    <w:p w14:paraId="6FFF6640">
      <w:pPr>
        <w:ind w:firstLine="560"/>
      </w:pPr>
    </w:p>
    <w:p w14:paraId="3402A5D4">
      <w:pPr>
        <w:ind w:firstLine="560"/>
      </w:pPr>
    </w:p>
    <w:p w14:paraId="64A0842A">
      <w:pPr>
        <w:ind w:firstLine="560"/>
      </w:pPr>
    </w:p>
    <w:p w14:paraId="7CFB2A67">
      <w:pPr>
        <w:ind w:firstLine="560"/>
      </w:pPr>
    </w:p>
    <w:p w14:paraId="4A96A7E1">
      <w:pPr>
        <w:ind w:firstLine="0" w:firstLineChars="0"/>
        <w:jc w:val="center"/>
        <w:rPr>
          <w:rFonts w:ascii="Times New Roman" w:hAnsi="Times New Roman" w:eastAsia="方正小标宋_GBK"/>
          <w:b/>
          <w:bCs/>
          <w:color w:val="auto"/>
          <w:kern w:val="44"/>
          <w:sz w:val="32"/>
          <w:szCs w:val="44"/>
        </w:rPr>
      </w:pPr>
      <w:r>
        <w:rPr>
          <w:rFonts w:ascii="Times New Roman" w:hAnsi="Times New Roman" w:eastAsia="方正小标宋_GBK"/>
          <w:b/>
          <w:bCs/>
          <w:color w:val="auto"/>
          <w:kern w:val="44"/>
          <w:sz w:val="32"/>
          <w:szCs w:val="44"/>
        </w:rPr>
        <w:t xml:space="preserve">第四篇  </w:t>
      </w:r>
      <w:bookmarkEnd w:id="71"/>
      <w:r>
        <w:rPr>
          <w:rFonts w:ascii="Times New Roman" w:hAnsi="Times New Roman" w:eastAsia="方正小标宋_GBK"/>
          <w:b/>
          <w:bCs/>
          <w:color w:val="auto"/>
          <w:kern w:val="44"/>
          <w:sz w:val="32"/>
          <w:szCs w:val="44"/>
        </w:rPr>
        <w:t>比选程序及方法、评审标准</w:t>
      </w:r>
      <w:bookmarkEnd w:id="72"/>
      <w:bookmarkEnd w:id="73"/>
      <w:bookmarkEnd w:id="74"/>
      <w:bookmarkEnd w:id="75"/>
      <w:bookmarkEnd w:id="76"/>
      <w:bookmarkEnd w:id="77"/>
      <w:bookmarkEnd w:id="78"/>
    </w:p>
    <w:p w14:paraId="10B34353">
      <w:pPr>
        <w:numPr>
          <w:ilvl w:val="255"/>
          <w:numId w:val="0"/>
        </w:numPr>
        <w:adjustRightInd w:val="0"/>
        <w:snapToGrid w:val="0"/>
        <w:spacing w:line="550" w:lineRule="exact"/>
        <w:ind w:firstLine="560" w:firstLineChars="200"/>
        <w:jc w:val="left"/>
        <w:rPr>
          <w:rFonts w:ascii="Times New Roman" w:hAnsi="Times New Roman" w:eastAsia="方正黑体_GBK"/>
          <w:color w:val="000000"/>
          <w:szCs w:val="20"/>
        </w:rPr>
      </w:pPr>
      <w:bookmarkStart w:id="79" w:name="_Toc23862"/>
      <w:bookmarkStart w:id="80" w:name="_Toc4083"/>
      <w:bookmarkStart w:id="81" w:name="_Toc1398"/>
      <w:bookmarkStart w:id="82" w:name="_Toc31606"/>
      <w:bookmarkStart w:id="83" w:name="_Toc105081923"/>
      <w:r>
        <w:rPr>
          <w:rFonts w:hint="eastAsia" w:ascii="Times New Roman" w:hAnsi="Times New Roman" w:eastAsia="方正黑体_GBK"/>
          <w:color w:val="000000"/>
          <w:szCs w:val="20"/>
        </w:rPr>
        <w:t>一、比选程序及方法</w:t>
      </w:r>
      <w:bookmarkEnd w:id="79"/>
      <w:bookmarkEnd w:id="80"/>
      <w:bookmarkEnd w:id="81"/>
      <w:bookmarkEnd w:id="82"/>
      <w:bookmarkEnd w:id="83"/>
    </w:p>
    <w:p w14:paraId="482A7FCC">
      <w:pPr>
        <w:spacing w:line="550" w:lineRule="exact"/>
        <w:ind w:firstLine="560"/>
        <w:rPr>
          <w:rFonts w:ascii="Times New Roman" w:hAnsi="Times New Roman"/>
          <w:color w:val="auto"/>
        </w:rPr>
      </w:pPr>
      <w:bookmarkStart w:id="84" w:name="_Toc492721015"/>
      <w:bookmarkStart w:id="85" w:name="_Toc8811"/>
      <w:r>
        <w:rPr>
          <w:rFonts w:ascii="Times New Roman" w:hAnsi="Times New Roman"/>
          <w:color w:val="auto"/>
        </w:rPr>
        <w:t>（一）比选按竞争性比选文件规定的时间和地点进行，</w:t>
      </w:r>
      <w:r>
        <w:rPr>
          <w:rFonts w:hint="eastAsia" w:ascii="Times New Roman" w:hAnsi="Times New Roman"/>
          <w:color w:val="auto"/>
        </w:rPr>
        <w:t>参选人</w:t>
      </w:r>
      <w:r>
        <w:rPr>
          <w:rFonts w:ascii="Times New Roman" w:hAnsi="Times New Roman"/>
          <w:color w:val="auto"/>
        </w:rPr>
        <w:t>须有法定代表人或其授权代表参加并签到。</w:t>
      </w:r>
    </w:p>
    <w:p w14:paraId="21759B3D">
      <w:pPr>
        <w:spacing w:line="550" w:lineRule="exact"/>
        <w:ind w:firstLine="560"/>
        <w:rPr>
          <w:rFonts w:ascii="Times New Roman" w:hAnsi="Times New Roman"/>
          <w:color w:val="auto"/>
          <w:spacing w:val="-17"/>
        </w:rPr>
      </w:pPr>
      <w:r>
        <w:rPr>
          <w:rFonts w:ascii="Times New Roman" w:hAnsi="Times New Roman"/>
          <w:color w:val="auto"/>
        </w:rPr>
        <w:t>（二）比选小组对各</w:t>
      </w:r>
      <w:r>
        <w:rPr>
          <w:rFonts w:hint="eastAsia" w:ascii="Times New Roman" w:hAnsi="Times New Roman"/>
          <w:color w:val="auto"/>
        </w:rPr>
        <w:t>参选人</w:t>
      </w:r>
      <w:r>
        <w:rPr>
          <w:rFonts w:ascii="Times New Roman" w:hAnsi="Times New Roman"/>
          <w:color w:val="auto"/>
        </w:rPr>
        <w:t>的资格条件、参选文件的有效性、完整性和响应</w:t>
      </w:r>
      <w:r>
        <w:rPr>
          <w:rFonts w:ascii="Times New Roman" w:hAnsi="Times New Roman"/>
          <w:color w:val="auto"/>
          <w:spacing w:val="-17"/>
        </w:rPr>
        <w:t>程度进行</w:t>
      </w:r>
      <w:r>
        <w:rPr>
          <w:rFonts w:hint="eastAsia" w:ascii="Times New Roman" w:hAnsi="Times New Roman"/>
          <w:color w:val="auto"/>
          <w:spacing w:val="-17"/>
        </w:rPr>
        <w:t>审查。各参选人只有在完全符合要求的前提下，才能参与正式比选。</w:t>
      </w:r>
    </w:p>
    <w:p w14:paraId="37D13CBE">
      <w:pPr>
        <w:spacing w:line="550" w:lineRule="exact"/>
        <w:ind w:firstLine="560"/>
        <w:rPr>
          <w:rFonts w:ascii="Times New Roman" w:hAnsi="Times New Roman"/>
          <w:color w:val="auto"/>
        </w:rPr>
      </w:pPr>
      <w:r>
        <w:rPr>
          <w:rFonts w:ascii="Times New Roman" w:hAnsi="Times New Roman"/>
          <w:color w:val="auto"/>
        </w:rPr>
        <w:t>1.资格性检查。</w:t>
      </w:r>
    </w:p>
    <w:p w14:paraId="711406BC">
      <w:pPr>
        <w:spacing w:line="550" w:lineRule="exact"/>
        <w:ind w:firstLine="560"/>
        <w:rPr>
          <w:rFonts w:ascii="Times New Roman" w:hAnsi="Times New Roman"/>
          <w:color w:val="auto"/>
        </w:rPr>
      </w:pPr>
      <w:r>
        <w:rPr>
          <w:rFonts w:ascii="Times New Roman" w:hAnsi="Times New Roman"/>
          <w:color w:val="auto"/>
        </w:rPr>
        <w:t>依据法律法规和竞争性比选文件的规定，对参选文件中的资格证明等进行审查，以确定</w:t>
      </w:r>
      <w:r>
        <w:rPr>
          <w:rFonts w:hint="eastAsia" w:ascii="Times New Roman" w:hAnsi="Times New Roman"/>
          <w:color w:val="auto"/>
        </w:rPr>
        <w:t>参选人</w:t>
      </w:r>
      <w:r>
        <w:rPr>
          <w:rFonts w:ascii="Times New Roman" w:hAnsi="Times New Roman"/>
          <w:color w:val="auto"/>
        </w:rPr>
        <w:t>是否具备比选资格。资格性检查资料表如下：</w:t>
      </w:r>
    </w:p>
    <w:tbl>
      <w:tblPr>
        <w:tblStyle w:val="19"/>
        <w:tblW w:w="9742"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583"/>
        <w:gridCol w:w="4820"/>
        <w:gridCol w:w="3685"/>
      </w:tblGrid>
      <w:tr w14:paraId="35FD8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54" w:type="dxa"/>
            <w:tcBorders>
              <w:top w:val="single" w:color="auto" w:sz="4" w:space="0"/>
              <w:left w:val="single" w:color="auto" w:sz="4" w:space="0"/>
              <w:bottom w:val="single" w:color="auto" w:sz="4" w:space="0"/>
              <w:right w:val="single" w:color="auto" w:sz="4" w:space="0"/>
            </w:tcBorders>
            <w:vAlign w:val="center"/>
          </w:tcPr>
          <w:p w14:paraId="28533F9A">
            <w:pPr>
              <w:snapToGrid w:val="0"/>
              <w:spacing w:line="400" w:lineRule="exact"/>
              <w:ind w:firstLine="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序号</w:t>
            </w:r>
          </w:p>
        </w:tc>
        <w:tc>
          <w:tcPr>
            <w:tcW w:w="5403" w:type="dxa"/>
            <w:gridSpan w:val="2"/>
            <w:tcBorders>
              <w:top w:val="single" w:color="auto" w:sz="4" w:space="0"/>
              <w:left w:val="single" w:color="auto" w:sz="4" w:space="0"/>
              <w:bottom w:val="single" w:color="auto" w:sz="4" w:space="0"/>
              <w:right w:val="single" w:color="auto" w:sz="4" w:space="0"/>
            </w:tcBorders>
            <w:vAlign w:val="center"/>
          </w:tcPr>
          <w:p w14:paraId="1CBBC09A">
            <w:pPr>
              <w:snapToGrid w:val="0"/>
              <w:spacing w:line="400" w:lineRule="exact"/>
              <w:ind w:firstLine="422"/>
              <w:jc w:val="center"/>
              <w:rPr>
                <w:rFonts w:ascii="Times New Roman" w:hAnsi="Times New Roman" w:eastAsia="仿宋"/>
                <w:b/>
                <w:color w:val="auto"/>
                <w:sz w:val="21"/>
                <w:szCs w:val="21"/>
              </w:rPr>
            </w:pPr>
            <w:r>
              <w:rPr>
                <w:rFonts w:ascii="Times New Roman" w:hAnsi="Times New Roman" w:eastAsia="仿宋"/>
                <w:b/>
                <w:color w:val="auto"/>
                <w:sz w:val="21"/>
                <w:szCs w:val="21"/>
              </w:rPr>
              <w:t>检查因素</w:t>
            </w:r>
          </w:p>
        </w:tc>
        <w:tc>
          <w:tcPr>
            <w:tcW w:w="3685" w:type="dxa"/>
            <w:tcBorders>
              <w:top w:val="single" w:color="auto" w:sz="4" w:space="0"/>
              <w:left w:val="single" w:color="auto" w:sz="4" w:space="0"/>
              <w:bottom w:val="single" w:color="auto" w:sz="4" w:space="0"/>
              <w:right w:val="single" w:color="auto" w:sz="4" w:space="0"/>
            </w:tcBorders>
            <w:vAlign w:val="center"/>
          </w:tcPr>
          <w:p w14:paraId="69D89CA0">
            <w:pPr>
              <w:snapToGrid w:val="0"/>
              <w:spacing w:line="400" w:lineRule="exact"/>
              <w:ind w:firstLine="422"/>
              <w:jc w:val="center"/>
              <w:rPr>
                <w:rFonts w:ascii="Times New Roman" w:hAnsi="Times New Roman" w:eastAsia="仿宋"/>
                <w:b/>
                <w:color w:val="auto"/>
                <w:sz w:val="21"/>
                <w:szCs w:val="21"/>
              </w:rPr>
            </w:pPr>
            <w:r>
              <w:rPr>
                <w:rFonts w:ascii="Times New Roman" w:hAnsi="Times New Roman" w:eastAsia="仿宋"/>
                <w:b/>
                <w:color w:val="auto"/>
                <w:sz w:val="21"/>
                <w:szCs w:val="21"/>
              </w:rPr>
              <w:t>检查内容</w:t>
            </w:r>
          </w:p>
        </w:tc>
      </w:tr>
      <w:tr w14:paraId="48B91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05" w:hRule="atLeast"/>
        </w:trPr>
        <w:tc>
          <w:tcPr>
            <w:tcW w:w="654" w:type="dxa"/>
            <w:vMerge w:val="restart"/>
            <w:vAlign w:val="center"/>
          </w:tcPr>
          <w:p w14:paraId="5A3CABBA">
            <w:pPr>
              <w:spacing w:line="30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1</w:t>
            </w:r>
          </w:p>
          <w:p w14:paraId="6494EA17">
            <w:pPr>
              <w:spacing w:line="300" w:lineRule="exact"/>
              <w:ind w:firstLine="199" w:firstLineChars="95"/>
              <w:rPr>
                <w:rFonts w:ascii="Times New Roman" w:hAnsi="Times New Roman" w:eastAsia="仿宋"/>
                <w:color w:val="auto"/>
                <w:sz w:val="21"/>
                <w:szCs w:val="21"/>
              </w:rPr>
            </w:pPr>
          </w:p>
        </w:tc>
        <w:tc>
          <w:tcPr>
            <w:tcW w:w="583" w:type="dxa"/>
            <w:vMerge w:val="restart"/>
            <w:vAlign w:val="center"/>
          </w:tcPr>
          <w:p w14:paraId="3FE5674C">
            <w:pPr>
              <w:spacing w:line="30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参选人</w:t>
            </w:r>
            <w:r>
              <w:rPr>
                <w:rFonts w:ascii="Times New Roman" w:hAnsi="Times New Roman" w:eastAsia="仿宋"/>
                <w:color w:val="auto"/>
                <w:sz w:val="21"/>
                <w:szCs w:val="21"/>
              </w:rPr>
              <w:t>应符合的基本资格条件</w:t>
            </w:r>
          </w:p>
        </w:tc>
        <w:tc>
          <w:tcPr>
            <w:tcW w:w="4820" w:type="dxa"/>
            <w:vAlign w:val="center"/>
          </w:tcPr>
          <w:p w14:paraId="5EB89A83">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（1）具有独立承担民事责任的能力</w:t>
            </w:r>
          </w:p>
        </w:tc>
        <w:tc>
          <w:tcPr>
            <w:tcW w:w="3685" w:type="dxa"/>
            <w:vAlign w:val="center"/>
          </w:tcPr>
          <w:p w14:paraId="6B0C6D80">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1.</w:t>
            </w:r>
            <w:r>
              <w:rPr>
                <w:rFonts w:ascii="Times New Roman" w:hAnsi="Times New Roman" w:eastAsia="仿宋"/>
                <w:color w:val="auto"/>
              </w:rPr>
              <w:t xml:space="preserve"> </w:t>
            </w:r>
            <w:r>
              <w:rPr>
                <w:rFonts w:ascii="Times New Roman" w:hAnsi="Times New Roman" w:eastAsia="仿宋"/>
                <w:color w:val="auto"/>
                <w:sz w:val="21"/>
                <w:szCs w:val="21"/>
              </w:rPr>
              <w:t>提供法人或者其他组织的营业执照，自然人的身份证明；</w:t>
            </w:r>
          </w:p>
          <w:p w14:paraId="56D1C681">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2.</w:t>
            </w:r>
            <w:r>
              <w:rPr>
                <w:rFonts w:hint="eastAsia" w:ascii="Times New Roman" w:hAnsi="Times New Roman" w:eastAsia="仿宋"/>
                <w:color w:val="auto"/>
                <w:sz w:val="21"/>
                <w:szCs w:val="21"/>
              </w:rPr>
              <w:t>参选人</w:t>
            </w:r>
            <w:r>
              <w:rPr>
                <w:rFonts w:ascii="Times New Roman" w:hAnsi="Times New Roman" w:eastAsia="仿宋"/>
                <w:color w:val="auto"/>
                <w:sz w:val="21"/>
                <w:szCs w:val="21"/>
              </w:rPr>
              <w:t>法定代表人身份证明（如为授权人，另</w:t>
            </w:r>
            <w:r>
              <w:rPr>
                <w:rFonts w:hint="eastAsia" w:ascii="Times New Roman" w:hAnsi="Times New Roman" w:eastAsia="仿宋"/>
                <w:color w:val="auto"/>
                <w:sz w:val="21"/>
                <w:szCs w:val="21"/>
              </w:rPr>
              <w:t>须</w:t>
            </w:r>
            <w:r>
              <w:rPr>
                <w:rFonts w:ascii="Times New Roman" w:hAnsi="Times New Roman" w:eastAsia="仿宋"/>
                <w:color w:val="auto"/>
                <w:sz w:val="21"/>
                <w:szCs w:val="21"/>
              </w:rPr>
              <w:t>有法人授权委托书、被授权人的身份证明）。</w:t>
            </w:r>
          </w:p>
        </w:tc>
      </w:tr>
      <w:tr w14:paraId="4E7673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trPr>
        <w:tc>
          <w:tcPr>
            <w:tcW w:w="654" w:type="dxa"/>
            <w:vMerge w:val="continue"/>
            <w:vAlign w:val="center"/>
          </w:tcPr>
          <w:p w14:paraId="7FE27ED2">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2F2828C3">
            <w:pPr>
              <w:spacing w:line="300" w:lineRule="exact"/>
              <w:ind w:firstLine="0" w:firstLineChars="0"/>
              <w:rPr>
                <w:rFonts w:ascii="Times New Roman" w:hAnsi="Times New Roman" w:eastAsia="仿宋"/>
                <w:color w:val="auto"/>
                <w:szCs w:val="28"/>
              </w:rPr>
            </w:pPr>
          </w:p>
        </w:tc>
        <w:tc>
          <w:tcPr>
            <w:tcW w:w="4820" w:type="dxa"/>
            <w:vAlign w:val="center"/>
          </w:tcPr>
          <w:p w14:paraId="32B09F07">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（2）具有良好的商业信誉和健全的财务会计制度</w:t>
            </w:r>
          </w:p>
        </w:tc>
        <w:tc>
          <w:tcPr>
            <w:tcW w:w="3685" w:type="dxa"/>
            <w:vMerge w:val="restart"/>
            <w:vAlign w:val="center"/>
          </w:tcPr>
          <w:p w14:paraId="3CD18F62">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参选人提供“基本资格条件承诺函”（格式详见第七篇）</w:t>
            </w:r>
          </w:p>
        </w:tc>
      </w:tr>
      <w:tr w14:paraId="38B5BD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654" w:type="dxa"/>
            <w:vMerge w:val="continue"/>
            <w:vAlign w:val="center"/>
          </w:tcPr>
          <w:p w14:paraId="312C5CC3">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0DEF6428">
            <w:pPr>
              <w:spacing w:line="300" w:lineRule="exact"/>
              <w:ind w:firstLine="0" w:firstLineChars="0"/>
              <w:rPr>
                <w:rFonts w:ascii="Times New Roman" w:hAnsi="Times New Roman" w:eastAsia="仿宋"/>
                <w:color w:val="auto"/>
                <w:szCs w:val="28"/>
              </w:rPr>
            </w:pPr>
          </w:p>
        </w:tc>
        <w:tc>
          <w:tcPr>
            <w:tcW w:w="4820" w:type="dxa"/>
            <w:vAlign w:val="center"/>
          </w:tcPr>
          <w:p w14:paraId="33E218AA">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（3）具有履行合同所必需的设备和专业技术能力</w:t>
            </w:r>
          </w:p>
        </w:tc>
        <w:tc>
          <w:tcPr>
            <w:tcW w:w="3685" w:type="dxa"/>
            <w:vMerge w:val="continue"/>
            <w:vAlign w:val="center"/>
          </w:tcPr>
          <w:p w14:paraId="03D90C33">
            <w:pPr>
              <w:spacing w:line="300" w:lineRule="exact"/>
              <w:ind w:firstLine="0" w:firstLineChars="0"/>
              <w:rPr>
                <w:rFonts w:ascii="Times New Roman" w:hAnsi="Times New Roman" w:eastAsia="仿宋"/>
                <w:bCs/>
                <w:color w:val="auto"/>
                <w:sz w:val="21"/>
                <w:szCs w:val="21"/>
              </w:rPr>
            </w:pPr>
          </w:p>
        </w:tc>
      </w:tr>
      <w:tr w14:paraId="30947B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654" w:type="dxa"/>
            <w:vMerge w:val="continue"/>
            <w:vAlign w:val="center"/>
          </w:tcPr>
          <w:p w14:paraId="2F28EC21">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4FF77F36">
            <w:pPr>
              <w:spacing w:line="300" w:lineRule="exact"/>
              <w:ind w:firstLine="0" w:firstLineChars="0"/>
              <w:rPr>
                <w:rFonts w:ascii="Times New Roman" w:hAnsi="Times New Roman" w:eastAsia="仿宋"/>
                <w:color w:val="auto"/>
                <w:szCs w:val="28"/>
              </w:rPr>
            </w:pPr>
          </w:p>
        </w:tc>
        <w:tc>
          <w:tcPr>
            <w:tcW w:w="4820" w:type="dxa"/>
            <w:vAlign w:val="center"/>
          </w:tcPr>
          <w:p w14:paraId="64D8108F">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（4）有依法缴纳税收或社会保障金的良好记录</w:t>
            </w:r>
          </w:p>
        </w:tc>
        <w:tc>
          <w:tcPr>
            <w:tcW w:w="3685" w:type="dxa"/>
            <w:vMerge w:val="continue"/>
            <w:vAlign w:val="center"/>
          </w:tcPr>
          <w:p w14:paraId="500024E6">
            <w:pPr>
              <w:spacing w:line="300" w:lineRule="exact"/>
              <w:ind w:firstLine="0" w:firstLineChars="0"/>
              <w:rPr>
                <w:rFonts w:ascii="Times New Roman" w:hAnsi="Times New Roman" w:eastAsia="仿宋"/>
                <w:bCs/>
                <w:color w:val="auto"/>
                <w:sz w:val="21"/>
                <w:szCs w:val="21"/>
              </w:rPr>
            </w:pPr>
          </w:p>
        </w:tc>
      </w:tr>
      <w:tr w14:paraId="064AD6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7" w:hRule="atLeast"/>
        </w:trPr>
        <w:tc>
          <w:tcPr>
            <w:tcW w:w="654" w:type="dxa"/>
            <w:vMerge w:val="continue"/>
            <w:vAlign w:val="center"/>
          </w:tcPr>
          <w:p w14:paraId="4B4FBF57">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4D6C5607">
            <w:pPr>
              <w:spacing w:line="300" w:lineRule="exact"/>
              <w:ind w:firstLine="0" w:firstLineChars="0"/>
              <w:rPr>
                <w:rFonts w:ascii="Times New Roman" w:hAnsi="Times New Roman" w:eastAsia="仿宋"/>
                <w:color w:val="auto"/>
                <w:szCs w:val="28"/>
              </w:rPr>
            </w:pPr>
          </w:p>
        </w:tc>
        <w:tc>
          <w:tcPr>
            <w:tcW w:w="4820" w:type="dxa"/>
            <w:vAlign w:val="center"/>
          </w:tcPr>
          <w:p w14:paraId="502D3A2F">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（5）参加本次比选前三年内，在经营活动中没有重大违法</w:t>
            </w:r>
            <w:r>
              <w:rPr>
                <w:rFonts w:hint="eastAsia" w:ascii="Times New Roman" w:hAnsi="Times New Roman" w:eastAsia="仿宋"/>
                <w:color w:val="auto"/>
                <w:sz w:val="21"/>
                <w:szCs w:val="21"/>
              </w:rPr>
              <w:t>记录</w:t>
            </w:r>
            <w:r>
              <w:rPr>
                <w:rFonts w:ascii="Times New Roman" w:hAnsi="Times New Roman" w:eastAsia="仿宋"/>
                <w:color w:val="auto"/>
                <w:sz w:val="21"/>
                <w:szCs w:val="21"/>
              </w:rPr>
              <w:t>。</w:t>
            </w:r>
          </w:p>
        </w:tc>
        <w:tc>
          <w:tcPr>
            <w:tcW w:w="3685" w:type="dxa"/>
            <w:vMerge w:val="continue"/>
            <w:vAlign w:val="center"/>
          </w:tcPr>
          <w:p w14:paraId="721E0FA3">
            <w:pPr>
              <w:spacing w:line="300" w:lineRule="exact"/>
              <w:ind w:firstLine="0" w:firstLineChars="0"/>
              <w:rPr>
                <w:rFonts w:ascii="Times New Roman" w:hAnsi="Times New Roman" w:eastAsia="仿宋"/>
                <w:bCs/>
                <w:color w:val="auto"/>
                <w:sz w:val="21"/>
                <w:szCs w:val="21"/>
              </w:rPr>
            </w:pPr>
          </w:p>
        </w:tc>
      </w:tr>
      <w:tr w14:paraId="6968A9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8" w:hRule="atLeast"/>
        </w:trPr>
        <w:tc>
          <w:tcPr>
            <w:tcW w:w="654" w:type="dxa"/>
            <w:vMerge w:val="continue"/>
            <w:vAlign w:val="center"/>
          </w:tcPr>
          <w:p w14:paraId="0000AC86">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34E74116">
            <w:pPr>
              <w:spacing w:line="300" w:lineRule="exact"/>
              <w:ind w:firstLine="0" w:firstLineChars="0"/>
              <w:rPr>
                <w:rFonts w:ascii="Times New Roman" w:hAnsi="Times New Roman" w:eastAsia="仿宋"/>
                <w:color w:val="auto"/>
                <w:szCs w:val="28"/>
              </w:rPr>
            </w:pPr>
          </w:p>
        </w:tc>
        <w:tc>
          <w:tcPr>
            <w:tcW w:w="4820" w:type="dxa"/>
            <w:vAlign w:val="center"/>
          </w:tcPr>
          <w:p w14:paraId="26B8A982">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（6）参选人股东非华龙网员工及配偶、员工子女及其配偶。</w:t>
            </w:r>
          </w:p>
        </w:tc>
        <w:tc>
          <w:tcPr>
            <w:tcW w:w="3685" w:type="dxa"/>
            <w:vMerge w:val="restart"/>
            <w:vAlign w:val="center"/>
          </w:tcPr>
          <w:p w14:paraId="154BB08D">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参选人提供承诺书加盖单位公章（第七篇响应文件格式中“承诺书”）</w:t>
            </w:r>
          </w:p>
          <w:p w14:paraId="13C0E046">
            <w:pPr>
              <w:spacing w:line="300" w:lineRule="exact"/>
              <w:ind w:firstLine="0" w:firstLineChars="0"/>
              <w:rPr>
                <w:rFonts w:ascii="Times New Roman" w:hAnsi="Times New Roman" w:eastAsia="仿宋"/>
                <w:bCs/>
                <w:color w:val="auto"/>
                <w:sz w:val="21"/>
                <w:szCs w:val="21"/>
              </w:rPr>
            </w:pPr>
          </w:p>
        </w:tc>
      </w:tr>
      <w:tr w14:paraId="7C4AE6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3" w:hRule="atLeast"/>
        </w:trPr>
        <w:tc>
          <w:tcPr>
            <w:tcW w:w="654" w:type="dxa"/>
            <w:vMerge w:val="continue"/>
            <w:vAlign w:val="center"/>
          </w:tcPr>
          <w:p w14:paraId="6F2C5C2E">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13D935B8">
            <w:pPr>
              <w:spacing w:line="300" w:lineRule="exact"/>
              <w:ind w:firstLine="0" w:firstLineChars="0"/>
              <w:rPr>
                <w:rFonts w:ascii="Times New Roman" w:hAnsi="Times New Roman" w:eastAsia="仿宋"/>
                <w:color w:val="auto"/>
                <w:szCs w:val="28"/>
              </w:rPr>
            </w:pPr>
          </w:p>
        </w:tc>
        <w:tc>
          <w:tcPr>
            <w:tcW w:w="4820" w:type="dxa"/>
            <w:vAlign w:val="center"/>
          </w:tcPr>
          <w:p w14:paraId="0EEE81A1">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（7）单位负责人为同一人或者存在直接控股、管理关系的不同比选方，不得参加同一合同项（分包）下的比选活动，否则均为无效。</w:t>
            </w:r>
          </w:p>
        </w:tc>
        <w:tc>
          <w:tcPr>
            <w:tcW w:w="3685" w:type="dxa"/>
            <w:vMerge w:val="continue"/>
            <w:vAlign w:val="center"/>
          </w:tcPr>
          <w:p w14:paraId="6EEFB04A">
            <w:pPr>
              <w:spacing w:line="300" w:lineRule="exact"/>
              <w:ind w:firstLine="0" w:firstLineChars="0"/>
              <w:rPr>
                <w:rFonts w:ascii="Times New Roman" w:hAnsi="Times New Roman" w:eastAsia="仿宋"/>
                <w:bCs/>
                <w:color w:val="auto"/>
                <w:sz w:val="21"/>
                <w:szCs w:val="21"/>
              </w:rPr>
            </w:pPr>
          </w:p>
        </w:tc>
      </w:tr>
      <w:tr w14:paraId="3B8966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54" w:type="dxa"/>
            <w:vMerge w:val="continue"/>
            <w:vAlign w:val="center"/>
          </w:tcPr>
          <w:p w14:paraId="607C20DD">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1505B68C">
            <w:pPr>
              <w:spacing w:line="300" w:lineRule="exact"/>
              <w:ind w:firstLine="0" w:firstLineChars="0"/>
              <w:rPr>
                <w:rFonts w:ascii="Times New Roman" w:hAnsi="Times New Roman" w:eastAsia="仿宋"/>
                <w:color w:val="auto"/>
                <w:szCs w:val="28"/>
              </w:rPr>
            </w:pPr>
          </w:p>
        </w:tc>
        <w:tc>
          <w:tcPr>
            <w:tcW w:w="4820" w:type="dxa"/>
            <w:vAlign w:val="center"/>
          </w:tcPr>
          <w:p w14:paraId="1738E0CB">
            <w:pPr>
              <w:spacing w:line="30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（8）诚信声明</w:t>
            </w:r>
          </w:p>
        </w:tc>
        <w:tc>
          <w:tcPr>
            <w:tcW w:w="3685" w:type="dxa"/>
            <w:vAlign w:val="center"/>
          </w:tcPr>
          <w:p w14:paraId="7C148D9B">
            <w:pPr>
              <w:spacing w:line="300" w:lineRule="exact"/>
              <w:ind w:firstLine="0" w:firstLineChars="0"/>
              <w:rPr>
                <w:rFonts w:ascii="Times New Roman" w:hAnsi="Times New Roman" w:eastAsia="仿宋"/>
                <w:bCs/>
                <w:color w:val="auto"/>
                <w:sz w:val="21"/>
                <w:szCs w:val="21"/>
              </w:rPr>
            </w:pPr>
            <w:r>
              <w:rPr>
                <w:rFonts w:hint="eastAsia" w:ascii="Times New Roman" w:hAnsi="Times New Roman" w:eastAsia="仿宋"/>
                <w:bCs/>
                <w:color w:val="auto"/>
                <w:sz w:val="21"/>
                <w:szCs w:val="21"/>
              </w:rPr>
              <w:t>“诚信声明”（格式详见第七篇）</w:t>
            </w:r>
          </w:p>
        </w:tc>
      </w:tr>
      <w:tr w14:paraId="52A09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trPr>
        <w:tc>
          <w:tcPr>
            <w:tcW w:w="654" w:type="dxa"/>
            <w:vMerge w:val="continue"/>
            <w:vAlign w:val="center"/>
          </w:tcPr>
          <w:p w14:paraId="212FF0CA">
            <w:pPr>
              <w:spacing w:line="300" w:lineRule="exact"/>
              <w:ind w:firstLine="560"/>
              <w:jc w:val="center"/>
              <w:rPr>
                <w:rFonts w:ascii="Times New Roman" w:hAnsi="Times New Roman" w:eastAsia="仿宋"/>
                <w:color w:val="auto"/>
                <w:szCs w:val="28"/>
              </w:rPr>
            </w:pPr>
          </w:p>
        </w:tc>
        <w:tc>
          <w:tcPr>
            <w:tcW w:w="583" w:type="dxa"/>
            <w:vMerge w:val="continue"/>
            <w:vAlign w:val="center"/>
          </w:tcPr>
          <w:p w14:paraId="47352663">
            <w:pPr>
              <w:spacing w:line="300" w:lineRule="exact"/>
              <w:ind w:firstLine="0" w:firstLineChars="0"/>
              <w:rPr>
                <w:rFonts w:ascii="Times New Roman" w:hAnsi="Times New Roman" w:eastAsia="仿宋"/>
                <w:color w:val="auto"/>
                <w:szCs w:val="28"/>
              </w:rPr>
            </w:pPr>
          </w:p>
        </w:tc>
        <w:tc>
          <w:tcPr>
            <w:tcW w:w="4820" w:type="dxa"/>
            <w:vAlign w:val="center"/>
          </w:tcPr>
          <w:p w14:paraId="5D0E75DC">
            <w:pPr>
              <w:spacing w:line="30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（9）</w:t>
            </w:r>
            <w:r>
              <w:rPr>
                <w:rFonts w:ascii="Times New Roman" w:hAnsi="Times New Roman" w:eastAsia="仿宋"/>
                <w:color w:val="auto"/>
                <w:sz w:val="21"/>
                <w:szCs w:val="21"/>
              </w:rPr>
              <w:t>法律、行政法规规定的其他条件</w:t>
            </w:r>
          </w:p>
        </w:tc>
        <w:tc>
          <w:tcPr>
            <w:tcW w:w="3685" w:type="dxa"/>
          </w:tcPr>
          <w:p w14:paraId="0ECC6738">
            <w:pPr>
              <w:spacing w:line="300" w:lineRule="exact"/>
              <w:ind w:firstLine="0" w:firstLineChars="0"/>
              <w:rPr>
                <w:rFonts w:ascii="Times New Roman" w:hAnsi="Times New Roman" w:eastAsia="仿宋"/>
                <w:b/>
                <w:color w:val="auto"/>
                <w:sz w:val="21"/>
                <w:szCs w:val="21"/>
              </w:rPr>
            </w:pPr>
            <w:r>
              <w:rPr>
                <w:sz w:val="21"/>
                <w:szCs w:val="21"/>
              </w:rPr>
              <w:t>/</w:t>
            </w:r>
          </w:p>
        </w:tc>
      </w:tr>
      <w:bookmarkEnd w:id="84"/>
      <w:bookmarkEnd w:id="85"/>
    </w:tbl>
    <w:p w14:paraId="74EF6B21">
      <w:pPr>
        <w:snapToGrid w:val="0"/>
        <w:ind w:firstLine="560"/>
        <w:rPr>
          <w:rFonts w:ascii="Times New Roman" w:hAnsi="Times New Roman"/>
          <w:color w:val="auto"/>
        </w:rPr>
      </w:pPr>
      <w:r>
        <w:rPr>
          <w:rFonts w:ascii="Times New Roman" w:hAnsi="Times New Roman"/>
          <w:color w:val="auto"/>
        </w:rPr>
        <w:t>2.符合性审查。</w:t>
      </w:r>
    </w:p>
    <w:p w14:paraId="1FEDB8C4">
      <w:pPr>
        <w:snapToGrid w:val="0"/>
        <w:ind w:firstLine="560"/>
        <w:rPr>
          <w:rFonts w:ascii="Times New Roman" w:hAnsi="Times New Roman"/>
          <w:color w:val="auto"/>
        </w:rPr>
      </w:pPr>
      <w:r>
        <w:rPr>
          <w:rFonts w:hint="eastAsia" w:ascii="Times New Roman" w:hAnsi="Times New Roman"/>
          <w:color w:val="auto"/>
        </w:rPr>
        <w:t>比选小组</w:t>
      </w:r>
      <w:r>
        <w:rPr>
          <w:rFonts w:ascii="Times New Roman" w:hAnsi="Times New Roman"/>
          <w:color w:val="auto"/>
        </w:rPr>
        <w:t>应当对符合资格的</w:t>
      </w:r>
      <w:r>
        <w:rPr>
          <w:rFonts w:hint="eastAsia" w:ascii="Times New Roman" w:hAnsi="Times New Roman"/>
          <w:color w:val="auto"/>
        </w:rPr>
        <w:t>参选人</w:t>
      </w:r>
      <w:r>
        <w:rPr>
          <w:rFonts w:ascii="Times New Roman" w:hAnsi="Times New Roman"/>
          <w:color w:val="auto"/>
        </w:rPr>
        <w:t>的参选文件进行符合性审查，以确定其是否满足比选文件的实质性要求。符合性审查资料表如下：</w:t>
      </w:r>
    </w:p>
    <w:tbl>
      <w:tblPr>
        <w:tblStyle w:val="19"/>
        <w:tblpPr w:leftFromText="180" w:rightFromText="180" w:vertAnchor="text" w:horzAnchor="margin" w:tblpXSpec="center" w:tblpY="14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98"/>
        <w:gridCol w:w="2397"/>
        <w:gridCol w:w="4544"/>
      </w:tblGrid>
      <w:tr w14:paraId="49C0D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846" w:type="dxa"/>
            <w:vAlign w:val="center"/>
          </w:tcPr>
          <w:p w14:paraId="7DD600B4">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序号</w:t>
            </w:r>
          </w:p>
        </w:tc>
        <w:tc>
          <w:tcPr>
            <w:tcW w:w="3595" w:type="dxa"/>
            <w:gridSpan w:val="2"/>
            <w:vAlign w:val="center"/>
          </w:tcPr>
          <w:p w14:paraId="15E600DD">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评审因素</w:t>
            </w:r>
          </w:p>
        </w:tc>
        <w:tc>
          <w:tcPr>
            <w:tcW w:w="4544" w:type="dxa"/>
            <w:vAlign w:val="center"/>
          </w:tcPr>
          <w:p w14:paraId="33BBE159">
            <w:pPr>
              <w:spacing w:line="360" w:lineRule="exact"/>
              <w:ind w:firstLine="0" w:firstLineChars="0"/>
              <w:jc w:val="center"/>
              <w:rPr>
                <w:rFonts w:ascii="Times New Roman" w:hAnsi="Times New Roman" w:eastAsia="仿宋"/>
                <w:b/>
                <w:color w:val="auto"/>
                <w:szCs w:val="28"/>
              </w:rPr>
            </w:pPr>
            <w:r>
              <w:rPr>
                <w:rFonts w:ascii="Times New Roman" w:hAnsi="Times New Roman" w:eastAsia="仿宋"/>
                <w:b/>
                <w:color w:val="auto"/>
                <w:szCs w:val="28"/>
              </w:rPr>
              <w:t>评审标准</w:t>
            </w:r>
          </w:p>
        </w:tc>
      </w:tr>
      <w:tr w14:paraId="27500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846" w:type="dxa"/>
            <w:vMerge w:val="restart"/>
            <w:vAlign w:val="center"/>
          </w:tcPr>
          <w:p w14:paraId="06DC3F3E">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1</w:t>
            </w:r>
          </w:p>
        </w:tc>
        <w:tc>
          <w:tcPr>
            <w:tcW w:w="1198" w:type="dxa"/>
            <w:vMerge w:val="restart"/>
            <w:vAlign w:val="center"/>
          </w:tcPr>
          <w:p w14:paraId="4A72D695">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有效性</w:t>
            </w:r>
          </w:p>
          <w:p w14:paraId="329F00A6">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18E8B713">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参选文件签署或盖章</w:t>
            </w:r>
          </w:p>
        </w:tc>
        <w:tc>
          <w:tcPr>
            <w:tcW w:w="4544" w:type="dxa"/>
            <w:vAlign w:val="center"/>
          </w:tcPr>
          <w:p w14:paraId="32C4146B">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参选文件上法定代表人（或其授权代表）或自然人（参选人为自然人）的签署或盖章齐全。</w:t>
            </w:r>
          </w:p>
        </w:tc>
      </w:tr>
      <w:tr w14:paraId="30762B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0" w:hRule="atLeast"/>
        </w:trPr>
        <w:tc>
          <w:tcPr>
            <w:tcW w:w="846" w:type="dxa"/>
            <w:vMerge w:val="continue"/>
            <w:vAlign w:val="center"/>
          </w:tcPr>
          <w:p w14:paraId="456BEE02">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5896ABC6">
            <w:pPr>
              <w:spacing w:line="360" w:lineRule="exact"/>
              <w:ind w:firstLine="0" w:firstLineChars="0"/>
              <w:rPr>
                <w:rFonts w:ascii="Times New Roman" w:hAnsi="Times New Roman" w:eastAsia="仿宋"/>
                <w:color w:val="auto"/>
                <w:sz w:val="21"/>
                <w:szCs w:val="21"/>
              </w:rPr>
            </w:pPr>
          </w:p>
        </w:tc>
        <w:tc>
          <w:tcPr>
            <w:tcW w:w="2397" w:type="dxa"/>
            <w:vAlign w:val="center"/>
          </w:tcPr>
          <w:p w14:paraId="2748BE19">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参选方案</w:t>
            </w:r>
          </w:p>
        </w:tc>
        <w:tc>
          <w:tcPr>
            <w:tcW w:w="4544" w:type="dxa"/>
            <w:vAlign w:val="center"/>
          </w:tcPr>
          <w:p w14:paraId="2CB17F87">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只能有一个方案参与比选。</w:t>
            </w:r>
          </w:p>
        </w:tc>
      </w:tr>
      <w:tr w14:paraId="07F0C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2" w:hRule="atLeast"/>
        </w:trPr>
        <w:tc>
          <w:tcPr>
            <w:tcW w:w="846" w:type="dxa"/>
            <w:vMerge w:val="continue"/>
            <w:vAlign w:val="center"/>
          </w:tcPr>
          <w:p w14:paraId="40733FFC">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206A7141">
            <w:pPr>
              <w:spacing w:line="360" w:lineRule="exact"/>
              <w:ind w:firstLine="0" w:firstLineChars="0"/>
              <w:rPr>
                <w:rFonts w:ascii="Times New Roman" w:hAnsi="Times New Roman" w:eastAsia="仿宋"/>
                <w:color w:val="auto"/>
                <w:sz w:val="21"/>
                <w:szCs w:val="21"/>
              </w:rPr>
            </w:pPr>
          </w:p>
        </w:tc>
        <w:tc>
          <w:tcPr>
            <w:tcW w:w="2397" w:type="dxa"/>
            <w:vAlign w:val="center"/>
          </w:tcPr>
          <w:p w14:paraId="2E8781C3">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报价唯一</w:t>
            </w:r>
          </w:p>
        </w:tc>
        <w:tc>
          <w:tcPr>
            <w:tcW w:w="4544" w:type="dxa"/>
            <w:vAlign w:val="center"/>
          </w:tcPr>
          <w:p w14:paraId="1F89E3B1">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lang w:val="zh-CN"/>
              </w:rPr>
              <w:t>只能在预算金额和最高限价内报价，</w:t>
            </w:r>
            <w:r>
              <w:rPr>
                <w:rFonts w:ascii="Times New Roman" w:hAnsi="Times New Roman" w:eastAsia="仿宋"/>
                <w:color w:val="auto"/>
                <w:sz w:val="21"/>
                <w:szCs w:val="21"/>
              </w:rPr>
              <w:t>只能有一个有效报价，不得提交选择性报价。</w:t>
            </w:r>
          </w:p>
        </w:tc>
      </w:tr>
      <w:tr w14:paraId="4C6B74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6" w:hRule="exact"/>
        </w:trPr>
        <w:tc>
          <w:tcPr>
            <w:tcW w:w="846" w:type="dxa"/>
            <w:vAlign w:val="center"/>
          </w:tcPr>
          <w:p w14:paraId="3BE503FC">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2</w:t>
            </w:r>
          </w:p>
        </w:tc>
        <w:tc>
          <w:tcPr>
            <w:tcW w:w="1198" w:type="dxa"/>
            <w:vAlign w:val="center"/>
          </w:tcPr>
          <w:p w14:paraId="5BD6B98E">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完整性</w:t>
            </w:r>
          </w:p>
          <w:p w14:paraId="579962B6">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326CD010">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参选文件份数</w:t>
            </w:r>
          </w:p>
        </w:tc>
        <w:tc>
          <w:tcPr>
            <w:tcW w:w="4544" w:type="dxa"/>
            <w:vAlign w:val="center"/>
          </w:tcPr>
          <w:p w14:paraId="1376B787">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参选文件正、副本数量符合比选文件要求。</w:t>
            </w:r>
          </w:p>
        </w:tc>
      </w:tr>
      <w:tr w14:paraId="458C3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trPr>
        <w:tc>
          <w:tcPr>
            <w:tcW w:w="846" w:type="dxa"/>
            <w:vMerge w:val="restart"/>
            <w:vAlign w:val="center"/>
          </w:tcPr>
          <w:p w14:paraId="5173B133">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3</w:t>
            </w:r>
          </w:p>
        </w:tc>
        <w:tc>
          <w:tcPr>
            <w:tcW w:w="1198" w:type="dxa"/>
            <w:vMerge w:val="restart"/>
            <w:vAlign w:val="center"/>
          </w:tcPr>
          <w:p w14:paraId="5E61E092">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响应程度</w:t>
            </w:r>
          </w:p>
          <w:p w14:paraId="6BF12238">
            <w:pPr>
              <w:spacing w:line="36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审查</w:t>
            </w:r>
          </w:p>
        </w:tc>
        <w:tc>
          <w:tcPr>
            <w:tcW w:w="2397" w:type="dxa"/>
            <w:vAlign w:val="center"/>
          </w:tcPr>
          <w:p w14:paraId="1CBAAEBD">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参选文件服务部分内容</w:t>
            </w:r>
          </w:p>
        </w:tc>
        <w:tc>
          <w:tcPr>
            <w:tcW w:w="4544" w:type="dxa"/>
            <w:vAlign w:val="center"/>
          </w:tcPr>
          <w:p w14:paraId="40CE4DD2">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对本比选文件第二篇内容作出实质性响应</w:t>
            </w:r>
          </w:p>
        </w:tc>
      </w:tr>
      <w:tr w14:paraId="2A265C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0" w:hRule="exact"/>
        </w:trPr>
        <w:tc>
          <w:tcPr>
            <w:tcW w:w="846" w:type="dxa"/>
            <w:vMerge w:val="continue"/>
            <w:vAlign w:val="center"/>
          </w:tcPr>
          <w:p w14:paraId="302E398D">
            <w:pPr>
              <w:spacing w:line="360" w:lineRule="exact"/>
              <w:ind w:firstLine="0" w:firstLineChars="0"/>
              <w:jc w:val="center"/>
              <w:rPr>
                <w:rFonts w:ascii="Times New Roman" w:hAnsi="Times New Roman" w:eastAsia="仿宋"/>
                <w:color w:val="auto"/>
                <w:sz w:val="21"/>
                <w:szCs w:val="21"/>
              </w:rPr>
            </w:pPr>
          </w:p>
        </w:tc>
        <w:tc>
          <w:tcPr>
            <w:tcW w:w="1198" w:type="dxa"/>
            <w:vMerge w:val="continue"/>
            <w:vAlign w:val="center"/>
          </w:tcPr>
          <w:p w14:paraId="7862B022">
            <w:pPr>
              <w:spacing w:line="360" w:lineRule="exact"/>
              <w:ind w:firstLine="0" w:firstLineChars="0"/>
              <w:rPr>
                <w:rFonts w:ascii="Times New Roman" w:hAnsi="Times New Roman" w:eastAsia="仿宋"/>
                <w:color w:val="auto"/>
                <w:sz w:val="21"/>
                <w:szCs w:val="21"/>
              </w:rPr>
            </w:pPr>
          </w:p>
        </w:tc>
        <w:tc>
          <w:tcPr>
            <w:tcW w:w="2397" w:type="dxa"/>
            <w:vAlign w:val="center"/>
          </w:tcPr>
          <w:p w14:paraId="7D0C075A">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参选文件商务部分内容</w:t>
            </w:r>
          </w:p>
        </w:tc>
        <w:tc>
          <w:tcPr>
            <w:tcW w:w="4544" w:type="dxa"/>
            <w:vAlign w:val="center"/>
          </w:tcPr>
          <w:p w14:paraId="51830367">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对本比选文件第三篇内容作出实质性响应</w:t>
            </w:r>
          </w:p>
        </w:tc>
      </w:tr>
      <w:tr w14:paraId="6A10E7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exact"/>
        </w:trPr>
        <w:tc>
          <w:tcPr>
            <w:tcW w:w="846" w:type="dxa"/>
            <w:vMerge w:val="continue"/>
            <w:vAlign w:val="center"/>
          </w:tcPr>
          <w:p w14:paraId="1CA69CE5">
            <w:pPr>
              <w:ind w:firstLine="640"/>
              <w:jc w:val="center"/>
              <w:rPr>
                <w:rFonts w:ascii="Times New Roman" w:hAnsi="Times New Roman" w:eastAsia="仿宋"/>
                <w:color w:val="auto"/>
                <w:sz w:val="32"/>
                <w:szCs w:val="32"/>
              </w:rPr>
            </w:pPr>
          </w:p>
        </w:tc>
        <w:tc>
          <w:tcPr>
            <w:tcW w:w="1198" w:type="dxa"/>
            <w:vMerge w:val="continue"/>
            <w:vAlign w:val="center"/>
          </w:tcPr>
          <w:p w14:paraId="3EDDB0D1">
            <w:pPr>
              <w:spacing w:line="360" w:lineRule="exact"/>
              <w:ind w:firstLine="640"/>
              <w:rPr>
                <w:rFonts w:ascii="Times New Roman" w:hAnsi="Times New Roman" w:eastAsia="仿宋"/>
                <w:color w:val="auto"/>
                <w:sz w:val="32"/>
                <w:szCs w:val="32"/>
              </w:rPr>
            </w:pPr>
          </w:p>
        </w:tc>
        <w:tc>
          <w:tcPr>
            <w:tcW w:w="2397" w:type="dxa"/>
            <w:vAlign w:val="center"/>
          </w:tcPr>
          <w:p w14:paraId="59D52188">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比选有效期</w:t>
            </w:r>
          </w:p>
        </w:tc>
        <w:tc>
          <w:tcPr>
            <w:tcW w:w="4544" w:type="dxa"/>
            <w:vAlign w:val="center"/>
          </w:tcPr>
          <w:p w14:paraId="607455EA">
            <w:pPr>
              <w:spacing w:line="360" w:lineRule="exact"/>
              <w:ind w:firstLine="0" w:firstLineChars="0"/>
              <w:rPr>
                <w:rFonts w:ascii="Times New Roman" w:hAnsi="Times New Roman" w:eastAsia="仿宋"/>
                <w:color w:val="auto"/>
                <w:sz w:val="21"/>
                <w:szCs w:val="21"/>
              </w:rPr>
            </w:pPr>
            <w:r>
              <w:rPr>
                <w:rFonts w:ascii="Times New Roman" w:hAnsi="Times New Roman" w:eastAsia="仿宋"/>
                <w:color w:val="auto"/>
                <w:sz w:val="21"/>
                <w:szCs w:val="21"/>
              </w:rPr>
              <w:t>提交参选文件截止时间起90天。</w:t>
            </w:r>
          </w:p>
        </w:tc>
      </w:tr>
    </w:tbl>
    <w:p w14:paraId="2588060B">
      <w:pPr>
        <w:snapToGrid w:val="0"/>
        <w:ind w:firstLine="560"/>
        <w:rPr>
          <w:rFonts w:ascii="Times New Roman" w:hAnsi="Times New Roman" w:eastAsia="方正黑体_GBK"/>
          <w:color w:val="000000"/>
          <w:szCs w:val="28"/>
        </w:rPr>
      </w:pPr>
      <w:bookmarkStart w:id="86" w:name="_Toc26796"/>
      <w:bookmarkStart w:id="87" w:name="_Toc5620"/>
      <w:bookmarkStart w:id="88" w:name="_Toc27633"/>
      <w:bookmarkStart w:id="89" w:name="_Toc31997"/>
      <w:bookmarkStart w:id="90" w:name="_Toc20171"/>
      <w:bookmarkStart w:id="91" w:name="_Toc9094"/>
      <w:bookmarkStart w:id="92" w:name="_Toc28549"/>
      <w:bookmarkStart w:id="93" w:name="_Toc21650"/>
      <w:bookmarkStart w:id="94" w:name="_Toc30011"/>
      <w:bookmarkStart w:id="95" w:name="_Toc75793519"/>
      <w:bookmarkStart w:id="96" w:name="_Toc27705"/>
      <w:bookmarkStart w:id="97" w:name="_Toc25341"/>
      <w:bookmarkStart w:id="98" w:name="_Toc30717"/>
      <w:bookmarkStart w:id="99" w:name="_Toc27015"/>
      <w:bookmarkStart w:id="100" w:name="_Toc14824"/>
      <w:bookmarkStart w:id="101" w:name="_Toc29140"/>
      <w:r>
        <w:rPr>
          <w:rFonts w:ascii="Times New Roman" w:hAnsi="Times New Roman" w:eastAsia="方正黑体_GBK"/>
          <w:color w:val="000000"/>
          <w:szCs w:val="28"/>
        </w:rPr>
        <w:t>二、评选方法</w:t>
      </w:r>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p>
    <w:p w14:paraId="6E5C9D20">
      <w:pPr>
        <w:adjustRightInd w:val="0"/>
        <w:snapToGrid w:val="0"/>
        <w:ind w:firstLine="560"/>
        <w:rPr>
          <w:rFonts w:ascii="Times New Roman" w:hAnsi="Times New Roman"/>
          <w:color w:val="000000"/>
          <w:szCs w:val="28"/>
        </w:rPr>
      </w:pPr>
      <w:r>
        <w:rPr>
          <w:rFonts w:ascii="Times New Roman" w:hAnsi="Times New Roman"/>
          <w:color w:val="000000"/>
          <w:szCs w:val="28"/>
        </w:rPr>
        <w:t>（一）本项目采用综合评估法进行评选。</w:t>
      </w:r>
    </w:p>
    <w:p w14:paraId="7204B940">
      <w:pPr>
        <w:adjustRightInd w:val="0"/>
        <w:snapToGrid w:val="0"/>
        <w:ind w:firstLine="562"/>
        <w:rPr>
          <w:rFonts w:ascii="Times New Roman" w:hAnsi="Times New Roman"/>
          <w:color w:val="000000"/>
          <w:szCs w:val="28"/>
        </w:rPr>
      </w:pPr>
      <w:r>
        <w:rPr>
          <w:rFonts w:ascii="Times New Roman" w:hAnsi="Times New Roman"/>
          <w:b/>
          <w:bCs/>
          <w:color w:val="000000"/>
          <w:szCs w:val="28"/>
        </w:rPr>
        <w:t>综合评估法：</w:t>
      </w:r>
      <w:r>
        <w:rPr>
          <w:rFonts w:ascii="Times New Roman" w:hAnsi="Times New Roman"/>
          <w:color w:val="000000"/>
          <w:szCs w:val="28"/>
        </w:rPr>
        <w:t>指在满足比选文件实质性要求的前提下，按照文件中规定的各项因素进行综合评审后，以总得分最高作为第一中标（选）候选人的评审方法。</w:t>
      </w:r>
    </w:p>
    <w:p w14:paraId="3A43CA5B">
      <w:pPr>
        <w:adjustRightInd w:val="0"/>
        <w:snapToGrid w:val="0"/>
        <w:ind w:firstLine="560"/>
        <w:rPr>
          <w:rFonts w:ascii="Times New Roman" w:hAnsi="Times New Roman"/>
          <w:color w:val="000000"/>
          <w:szCs w:val="28"/>
        </w:rPr>
      </w:pPr>
      <w:r>
        <w:rPr>
          <w:rFonts w:ascii="Times New Roman" w:hAnsi="Times New Roman"/>
          <w:color w:val="000000"/>
          <w:szCs w:val="28"/>
        </w:rPr>
        <w:t>（1）比较与评价。按比选文件中规定的评选方法和标准，对资格审查和符合性审查合格的参选文件进行技术（服务）和商务评估。</w:t>
      </w:r>
    </w:p>
    <w:p w14:paraId="55B6D382">
      <w:pPr>
        <w:adjustRightInd w:val="0"/>
        <w:snapToGrid w:val="0"/>
        <w:ind w:firstLine="560"/>
        <w:rPr>
          <w:rFonts w:ascii="Times New Roman" w:hAnsi="Times New Roman"/>
          <w:color w:val="000000"/>
          <w:szCs w:val="28"/>
        </w:rPr>
      </w:pPr>
      <w:r>
        <w:rPr>
          <w:rFonts w:hint="eastAsia" w:ascii="Times New Roman" w:hAnsi="Times New Roman"/>
          <w:color w:val="000000"/>
          <w:szCs w:val="28"/>
        </w:rPr>
        <w:t>比选小组</w:t>
      </w:r>
      <w:r>
        <w:rPr>
          <w:rFonts w:ascii="Times New Roman" w:hAnsi="Times New Roman"/>
          <w:color w:val="000000"/>
          <w:szCs w:val="28"/>
        </w:rPr>
        <w:t>成员对每个有效参选人（通过资格审查、符合性审查的参选人）的参选文件进行评价、打分，然后由</w:t>
      </w:r>
      <w:r>
        <w:rPr>
          <w:rFonts w:hint="eastAsia" w:ascii="Times New Roman" w:hAnsi="Times New Roman"/>
          <w:color w:val="000000"/>
          <w:szCs w:val="28"/>
        </w:rPr>
        <w:t>比选小组</w:t>
      </w:r>
      <w:r>
        <w:rPr>
          <w:rFonts w:ascii="Times New Roman" w:hAnsi="Times New Roman"/>
          <w:color w:val="000000"/>
          <w:szCs w:val="28"/>
        </w:rPr>
        <w:t>对各成员打分情况进行核查及复核，个别成员对同一参选人同一评分项的打分偏离较大的，应对参选人的参选文件进行再次核对，确属打分有误的，应及时进行修正。复核后，</w:t>
      </w:r>
      <w:r>
        <w:rPr>
          <w:rFonts w:hint="eastAsia" w:ascii="Times New Roman" w:hAnsi="Times New Roman"/>
          <w:color w:val="000000"/>
          <w:szCs w:val="28"/>
        </w:rPr>
        <w:t>比选小组</w:t>
      </w:r>
      <w:r>
        <w:rPr>
          <w:rFonts w:ascii="Times New Roman" w:hAnsi="Times New Roman"/>
          <w:color w:val="000000"/>
          <w:szCs w:val="28"/>
        </w:rPr>
        <w:t>汇总每个参选人每项评分因素的得分。</w:t>
      </w:r>
    </w:p>
    <w:p w14:paraId="61DD02E2">
      <w:pPr>
        <w:adjustRightInd w:val="0"/>
        <w:snapToGrid w:val="0"/>
        <w:spacing w:line="550" w:lineRule="exact"/>
        <w:ind w:firstLine="560"/>
        <w:rPr>
          <w:rFonts w:ascii="Times New Roman" w:hAnsi="Times New Roman"/>
          <w:color w:val="000000"/>
          <w:szCs w:val="28"/>
        </w:rPr>
      </w:pPr>
      <w:r>
        <w:rPr>
          <w:rFonts w:ascii="Times New Roman" w:hAnsi="Times New Roman"/>
          <w:color w:val="000000"/>
          <w:szCs w:val="28"/>
        </w:rPr>
        <w:t>（2）推荐中选候选人名单。</w:t>
      </w:r>
    </w:p>
    <w:p w14:paraId="76C47E13">
      <w:pPr>
        <w:adjustRightInd w:val="0"/>
        <w:snapToGrid w:val="0"/>
        <w:spacing w:line="550" w:lineRule="exact"/>
        <w:ind w:firstLine="560" w:firstLineChars="0"/>
        <w:rPr>
          <w:rFonts w:ascii="Times New Roman" w:hAnsi="Times New Roman"/>
          <w:color w:val="000000"/>
          <w:spacing w:val="-6"/>
          <w:szCs w:val="28"/>
        </w:rPr>
      </w:pPr>
      <w:r>
        <w:rPr>
          <w:rFonts w:ascii="Times New Roman" w:hAnsi="Times New Roman"/>
          <w:color w:val="000000"/>
          <w:szCs w:val="28"/>
        </w:rPr>
        <w:t>按评审后得分由高到低的排列顺序推荐综合得分排名前三的参选人为本项目中选候选人，排名第一的为第一中选候选人。得分相同的，按技术（服</w:t>
      </w:r>
      <w:r>
        <w:rPr>
          <w:rFonts w:ascii="Times New Roman" w:hAnsi="Times New Roman"/>
          <w:color w:val="000000"/>
          <w:spacing w:val="-6"/>
          <w:szCs w:val="28"/>
        </w:rPr>
        <w:t>务</w:t>
      </w:r>
      <w:r>
        <w:rPr>
          <w:rFonts w:ascii="Times New Roman" w:hAnsi="Times New Roman"/>
          <w:color w:val="000000"/>
          <w:szCs w:val="28"/>
        </w:rPr>
        <w:t>）</w:t>
      </w:r>
      <w:r>
        <w:rPr>
          <w:rFonts w:ascii="Times New Roman" w:hAnsi="Times New Roman"/>
          <w:color w:val="000000"/>
          <w:spacing w:val="-6"/>
          <w:szCs w:val="28"/>
        </w:rPr>
        <w:t>部分得分由高到低顺序排列，排名第一的为第一中选候选人。</w:t>
      </w:r>
    </w:p>
    <w:p w14:paraId="6B25A745">
      <w:pPr>
        <w:numPr>
          <w:ilvl w:val="0"/>
          <w:numId w:val="4"/>
        </w:numPr>
        <w:adjustRightInd w:val="0"/>
        <w:snapToGrid w:val="0"/>
        <w:ind w:firstLine="560"/>
        <w:rPr>
          <w:rFonts w:ascii="Times New Roman" w:hAnsi="Times New Roman"/>
          <w:color w:val="auto"/>
        </w:rPr>
      </w:pPr>
      <w:r>
        <w:rPr>
          <w:rFonts w:ascii="Times New Roman" w:hAnsi="Times New Roman"/>
          <w:color w:val="000000"/>
          <w:szCs w:val="28"/>
        </w:rPr>
        <w:t>澄清有关问题。对参选文件中含义不明确、同类问题表述不一致或者有明显文字和计算错误的内容，</w:t>
      </w:r>
      <w:r>
        <w:rPr>
          <w:rFonts w:hint="eastAsia" w:ascii="Times New Roman" w:hAnsi="Times New Roman"/>
          <w:color w:val="000000"/>
          <w:szCs w:val="28"/>
        </w:rPr>
        <w:t>比选小组</w:t>
      </w:r>
      <w:r>
        <w:rPr>
          <w:rFonts w:ascii="Times New Roman" w:hAnsi="Times New Roman"/>
          <w:color w:val="000000"/>
          <w:szCs w:val="28"/>
        </w:rPr>
        <w:t>可以书面形式（应当由</w:t>
      </w:r>
      <w:r>
        <w:rPr>
          <w:rFonts w:hint="eastAsia" w:ascii="Times New Roman" w:hAnsi="Times New Roman"/>
          <w:color w:val="000000"/>
          <w:szCs w:val="28"/>
        </w:rPr>
        <w:t>比选小组</w:t>
      </w:r>
      <w:r>
        <w:rPr>
          <w:rFonts w:ascii="Times New Roman" w:hAnsi="Times New Roman"/>
          <w:color w:val="000000"/>
          <w:szCs w:val="28"/>
        </w:rPr>
        <w:t>成员签字）要求参选人作出必要澄清、说明或者纠正。参选人的澄清、说明或者补正应当采用书面形式，由其法定代表人（或其授权代表）或自然人（参选人为自然人）签字，其澄清的内容不得超出比选文件的范围或者改变参选文件的实质性内容。</w:t>
      </w:r>
    </w:p>
    <w:p w14:paraId="1E8EF263">
      <w:pPr>
        <w:numPr>
          <w:ilvl w:val="255"/>
          <w:numId w:val="0"/>
        </w:numPr>
        <w:adjustRightInd w:val="0"/>
        <w:snapToGrid w:val="0"/>
        <w:ind w:firstLine="560"/>
        <w:jc w:val="left"/>
        <w:rPr>
          <w:rFonts w:ascii="Times New Roman" w:hAnsi="Times New Roman" w:eastAsia="方正黑体_GBK"/>
          <w:color w:val="000000"/>
          <w:szCs w:val="20"/>
        </w:rPr>
      </w:pPr>
      <w:r>
        <w:rPr>
          <w:rFonts w:hint="eastAsia" w:ascii="Times New Roman" w:hAnsi="Times New Roman" w:eastAsia="方正黑体_GBK"/>
          <w:color w:val="000000"/>
          <w:szCs w:val="20"/>
        </w:rPr>
        <w:t>三、评审标准</w:t>
      </w:r>
    </w:p>
    <w:tbl>
      <w:tblPr>
        <w:tblStyle w:val="19"/>
        <w:tblW w:w="104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9"/>
        <w:gridCol w:w="1187"/>
        <w:gridCol w:w="1298"/>
        <w:gridCol w:w="5163"/>
        <w:gridCol w:w="1970"/>
      </w:tblGrid>
      <w:tr w14:paraId="2BCFFE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4" w:hRule="atLeast"/>
          <w:jc w:val="center"/>
        </w:trPr>
        <w:tc>
          <w:tcPr>
            <w:tcW w:w="805" w:type="dxa"/>
            <w:vAlign w:val="center"/>
          </w:tcPr>
          <w:p w14:paraId="6CF57E3A">
            <w:pPr>
              <w:spacing w:line="240" w:lineRule="atLeast"/>
              <w:ind w:firstLine="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序号</w:t>
            </w:r>
          </w:p>
        </w:tc>
        <w:tc>
          <w:tcPr>
            <w:tcW w:w="2356" w:type="dxa"/>
            <w:gridSpan w:val="2"/>
            <w:vAlign w:val="center"/>
          </w:tcPr>
          <w:p w14:paraId="20F8751A">
            <w:pPr>
              <w:spacing w:line="240" w:lineRule="atLeast"/>
              <w:ind w:firstLine="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评分因素及权值</w:t>
            </w:r>
          </w:p>
        </w:tc>
        <w:tc>
          <w:tcPr>
            <w:tcW w:w="4895" w:type="dxa"/>
            <w:vAlign w:val="center"/>
          </w:tcPr>
          <w:p w14:paraId="76B12E00">
            <w:pPr>
              <w:spacing w:line="240" w:lineRule="atLeast"/>
              <w:ind w:firstLine="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评分标准</w:t>
            </w:r>
          </w:p>
        </w:tc>
        <w:tc>
          <w:tcPr>
            <w:tcW w:w="1868" w:type="dxa"/>
            <w:vAlign w:val="center"/>
          </w:tcPr>
          <w:p w14:paraId="063EA1C0">
            <w:pPr>
              <w:spacing w:line="240" w:lineRule="atLeast"/>
              <w:ind w:firstLine="420" w:firstLineChars="0"/>
              <w:jc w:val="center"/>
              <w:rPr>
                <w:rFonts w:ascii="Times New Roman" w:hAnsi="Times New Roman" w:eastAsia="仿宋"/>
                <w:b/>
                <w:color w:val="auto"/>
                <w:sz w:val="21"/>
                <w:szCs w:val="21"/>
              </w:rPr>
            </w:pPr>
            <w:r>
              <w:rPr>
                <w:rFonts w:ascii="Times New Roman" w:hAnsi="Times New Roman" w:eastAsia="仿宋"/>
                <w:b/>
                <w:color w:val="auto"/>
                <w:sz w:val="21"/>
                <w:szCs w:val="21"/>
              </w:rPr>
              <w:t>说明</w:t>
            </w:r>
          </w:p>
        </w:tc>
      </w:tr>
      <w:tr w14:paraId="797CE9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2" w:hRule="atLeast"/>
          <w:jc w:val="center"/>
        </w:trPr>
        <w:tc>
          <w:tcPr>
            <w:tcW w:w="805" w:type="dxa"/>
            <w:vAlign w:val="center"/>
          </w:tcPr>
          <w:p w14:paraId="6550D34A">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1</w:t>
            </w:r>
          </w:p>
        </w:tc>
        <w:tc>
          <w:tcPr>
            <w:tcW w:w="1125" w:type="dxa"/>
            <w:vAlign w:val="center"/>
          </w:tcPr>
          <w:p w14:paraId="68C6B70A">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报价</w:t>
            </w:r>
          </w:p>
          <w:p w14:paraId="2A68EFD3">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部分</w:t>
            </w:r>
            <w:r>
              <w:rPr>
                <w:rFonts w:hint="eastAsia" w:ascii="Times New Roman" w:hAnsi="Times New Roman" w:eastAsia="仿宋"/>
                <w:color w:val="auto"/>
                <w:sz w:val="21"/>
                <w:szCs w:val="21"/>
              </w:rPr>
              <w:t>（35</w:t>
            </w:r>
            <w:r>
              <w:rPr>
                <w:rFonts w:ascii="Times New Roman" w:hAnsi="Times New Roman" w:eastAsia="仿宋"/>
                <w:color w:val="auto"/>
                <w:sz w:val="21"/>
                <w:szCs w:val="21"/>
              </w:rPr>
              <w:t>%</w:t>
            </w:r>
            <w:r>
              <w:rPr>
                <w:rFonts w:hint="eastAsia" w:ascii="Times New Roman" w:hAnsi="Times New Roman" w:eastAsia="仿宋"/>
                <w:color w:val="auto"/>
                <w:sz w:val="21"/>
                <w:szCs w:val="21"/>
              </w:rPr>
              <w:t>）</w:t>
            </w:r>
          </w:p>
        </w:tc>
        <w:tc>
          <w:tcPr>
            <w:tcW w:w="1231" w:type="dxa"/>
            <w:vAlign w:val="center"/>
          </w:tcPr>
          <w:p w14:paraId="16C5286E">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比选报价</w:t>
            </w:r>
          </w:p>
          <w:p w14:paraId="24ACAEF9">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（35</w:t>
            </w:r>
            <w:r>
              <w:rPr>
                <w:rFonts w:ascii="Times New Roman" w:hAnsi="Times New Roman" w:eastAsia="仿宋"/>
                <w:color w:val="auto"/>
                <w:sz w:val="21"/>
                <w:szCs w:val="21"/>
              </w:rPr>
              <w:t>分</w:t>
            </w:r>
            <w:r>
              <w:rPr>
                <w:rFonts w:hint="eastAsia" w:ascii="Times New Roman" w:hAnsi="Times New Roman" w:eastAsia="仿宋"/>
                <w:color w:val="auto"/>
                <w:sz w:val="21"/>
                <w:szCs w:val="21"/>
              </w:rPr>
              <w:t>）</w:t>
            </w:r>
          </w:p>
        </w:tc>
        <w:tc>
          <w:tcPr>
            <w:tcW w:w="4895" w:type="dxa"/>
            <w:vAlign w:val="center"/>
          </w:tcPr>
          <w:p w14:paraId="0FC143FA">
            <w:pPr>
              <w:spacing w:line="360" w:lineRule="exact"/>
              <w:ind w:firstLine="0" w:firstLineChars="0"/>
              <w:jc w:val="left"/>
              <w:rPr>
                <w:rFonts w:ascii="Times New Roman" w:hAnsi="Times New Roman" w:eastAsia="仿宋"/>
                <w:color w:val="auto"/>
                <w:sz w:val="21"/>
              </w:rPr>
            </w:pPr>
            <w:r>
              <w:rPr>
                <w:rFonts w:hint="eastAsia" w:ascii="Times New Roman" w:hAnsi="Times New Roman" w:eastAsia="仿宋"/>
                <w:color w:val="auto"/>
                <w:kern w:val="0"/>
                <w:sz w:val="21"/>
                <w:szCs w:val="20"/>
              </w:rPr>
              <w:t>有效的比选报价中的最低价为评选基准价，其价格分为满分。其他参选人的价格分统一按照下列公式计算：比选报价得分=（评选基准价/比选报价）×价格权重×100。</w:t>
            </w:r>
          </w:p>
        </w:tc>
        <w:tc>
          <w:tcPr>
            <w:tcW w:w="1868" w:type="dxa"/>
            <w:vAlign w:val="center"/>
          </w:tcPr>
          <w:p w14:paraId="0459862C">
            <w:pPr>
              <w:spacing w:line="240" w:lineRule="exact"/>
              <w:ind w:firstLine="0" w:firstLineChars="0"/>
              <w:jc w:val="left"/>
              <w:rPr>
                <w:rFonts w:ascii="Times New Roman" w:hAnsi="Times New Roman" w:eastAsia="仿宋"/>
                <w:color w:val="auto"/>
                <w:sz w:val="21"/>
                <w:szCs w:val="21"/>
              </w:rPr>
            </w:pPr>
          </w:p>
        </w:tc>
      </w:tr>
      <w:tr w14:paraId="20553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65" w:hRule="atLeast"/>
          <w:jc w:val="center"/>
        </w:trPr>
        <w:tc>
          <w:tcPr>
            <w:tcW w:w="805" w:type="dxa"/>
            <w:vMerge w:val="restart"/>
            <w:vAlign w:val="center"/>
          </w:tcPr>
          <w:p w14:paraId="48251070">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2</w:t>
            </w:r>
          </w:p>
        </w:tc>
        <w:tc>
          <w:tcPr>
            <w:tcW w:w="1125" w:type="dxa"/>
            <w:vMerge w:val="restart"/>
            <w:vAlign w:val="center"/>
          </w:tcPr>
          <w:p w14:paraId="50F47F6A">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服务</w:t>
            </w:r>
          </w:p>
          <w:p w14:paraId="4EC8E078">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部分</w:t>
            </w:r>
            <w:r>
              <w:rPr>
                <w:rFonts w:hint="eastAsia" w:ascii="Times New Roman" w:hAnsi="Times New Roman" w:eastAsia="仿宋"/>
                <w:color w:val="auto"/>
                <w:sz w:val="21"/>
                <w:szCs w:val="21"/>
              </w:rPr>
              <w:t>（50</w:t>
            </w:r>
            <w:r>
              <w:rPr>
                <w:rFonts w:ascii="Times New Roman" w:hAnsi="Times New Roman" w:eastAsia="仿宋"/>
                <w:color w:val="auto"/>
                <w:sz w:val="21"/>
                <w:szCs w:val="21"/>
              </w:rPr>
              <w:t>%</w:t>
            </w:r>
            <w:r>
              <w:rPr>
                <w:rFonts w:hint="eastAsia" w:ascii="Times New Roman" w:hAnsi="Times New Roman" w:eastAsia="仿宋"/>
                <w:color w:val="auto"/>
                <w:sz w:val="21"/>
                <w:szCs w:val="21"/>
              </w:rPr>
              <w:t>）</w:t>
            </w:r>
          </w:p>
        </w:tc>
        <w:tc>
          <w:tcPr>
            <w:tcW w:w="1231" w:type="dxa"/>
            <w:vAlign w:val="center"/>
          </w:tcPr>
          <w:p w14:paraId="0B584911">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服务方案</w:t>
            </w:r>
          </w:p>
          <w:p w14:paraId="54F7D31D">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（45分）</w:t>
            </w:r>
          </w:p>
        </w:tc>
        <w:tc>
          <w:tcPr>
            <w:tcW w:w="4895" w:type="dxa"/>
            <w:vAlign w:val="center"/>
          </w:tcPr>
          <w:p w14:paraId="426AD361">
            <w:pPr>
              <w:spacing w:line="240" w:lineRule="exact"/>
              <w:ind w:firstLine="0" w:firstLineChars="0"/>
              <w:rPr>
                <w:rFonts w:ascii="Times New Roman" w:hAnsi="Times New Roman" w:eastAsia="仿宋"/>
                <w:color w:val="auto"/>
                <w:sz w:val="21"/>
              </w:rPr>
            </w:pPr>
            <w:r>
              <w:rPr>
                <w:rFonts w:ascii="Times New Roman" w:hAnsi="Times New Roman" w:eastAsia="仿宋"/>
                <w:color w:val="auto"/>
                <w:sz w:val="21"/>
              </w:rPr>
              <w:t>1.</w:t>
            </w:r>
            <w:r>
              <w:rPr>
                <w:rFonts w:hint="eastAsia" w:ascii="Times New Roman" w:hAnsi="Times New Roman" w:eastAsia="仿宋"/>
                <w:color w:val="auto"/>
                <w:sz w:val="21"/>
              </w:rPr>
              <w:t>项目整体宣传运营方案</w:t>
            </w:r>
            <w:r>
              <w:rPr>
                <w:rFonts w:ascii="Times New Roman" w:hAnsi="Times New Roman" w:eastAsia="仿宋"/>
                <w:color w:val="auto"/>
                <w:sz w:val="21"/>
              </w:rPr>
              <w:t>（</w:t>
            </w:r>
            <w:r>
              <w:rPr>
                <w:rFonts w:hint="eastAsia" w:ascii="Times New Roman" w:hAnsi="Times New Roman" w:eastAsia="仿宋"/>
                <w:color w:val="auto"/>
                <w:sz w:val="21"/>
              </w:rPr>
              <w:t>25</w:t>
            </w:r>
            <w:r>
              <w:rPr>
                <w:rFonts w:ascii="Times New Roman" w:hAnsi="Times New Roman" w:eastAsia="仿宋"/>
                <w:color w:val="auto"/>
                <w:sz w:val="21"/>
              </w:rPr>
              <w:t>分）</w:t>
            </w:r>
          </w:p>
          <w:p w14:paraId="173C13E5">
            <w:pPr>
              <w:pStyle w:val="27"/>
              <w:autoSpaceDE/>
              <w:autoSpaceDN/>
              <w:adjustRightInd/>
              <w:spacing w:line="240" w:lineRule="exact"/>
              <w:rPr>
                <w:rFonts w:ascii="Times New Roman" w:eastAsia="仿宋"/>
                <w:color w:val="auto"/>
                <w:kern w:val="2"/>
                <w:sz w:val="21"/>
                <w:szCs w:val="21"/>
              </w:rPr>
            </w:pPr>
            <w:r>
              <w:rPr>
                <w:rFonts w:hint="eastAsia" w:ascii="Times New Roman" w:eastAsia="仿宋"/>
                <w:color w:val="auto"/>
                <w:sz w:val="21"/>
              </w:rPr>
              <w:t>参选人</w:t>
            </w:r>
            <w:r>
              <w:rPr>
                <w:rFonts w:ascii="Times New Roman" w:eastAsia="仿宋"/>
                <w:color w:val="auto"/>
                <w:sz w:val="21"/>
              </w:rPr>
              <w:t>结合</w:t>
            </w:r>
            <w:r>
              <w:rPr>
                <w:rFonts w:hint="eastAsia" w:ascii="Times New Roman" w:eastAsia="仿宋"/>
                <w:color w:val="auto"/>
                <w:sz w:val="21"/>
              </w:rPr>
              <w:t>川超赛事内容，提供宣传运营方案，包括</w:t>
            </w:r>
            <w:r>
              <w:rPr>
                <w:rFonts w:hint="eastAsia" w:ascii="Times New Roman" w:eastAsia="仿宋"/>
                <w:color w:val="auto"/>
                <w:sz w:val="21"/>
                <w:szCs w:val="21"/>
              </w:rPr>
              <w:t>但不限于</w:t>
            </w:r>
            <w:r>
              <w:rPr>
                <w:rFonts w:hint="eastAsia" w:ascii="Times New Roman" w:eastAsia="仿宋"/>
                <w:color w:val="auto"/>
                <w:sz w:val="21"/>
              </w:rPr>
              <w:t>自贡教体账号运营、内容规划（含视频/图文选题、事件营销策划、日常运营计划等）、团队服务、推流服务，可量化传播目标（如粉丝量、点赞量）等</w:t>
            </w:r>
            <w:r>
              <w:rPr>
                <w:rFonts w:hint="eastAsia" w:ascii="Times New Roman" w:eastAsia="仿宋"/>
                <w:color w:val="auto"/>
                <w:kern w:val="2"/>
                <w:sz w:val="21"/>
                <w:szCs w:val="21"/>
              </w:rPr>
              <w:t>。</w:t>
            </w:r>
          </w:p>
          <w:p w14:paraId="76D401FE">
            <w:pPr>
              <w:pStyle w:val="27"/>
              <w:autoSpaceDE/>
              <w:autoSpaceDN/>
              <w:adjustRightInd/>
              <w:spacing w:line="240" w:lineRule="exact"/>
              <w:rPr>
                <w:rFonts w:ascii="Times New Roman" w:eastAsia="仿宋"/>
                <w:color w:val="auto"/>
                <w:sz w:val="21"/>
                <w:szCs w:val="21"/>
              </w:rPr>
            </w:pPr>
            <w:r>
              <w:rPr>
                <w:rFonts w:hint="eastAsia" w:ascii="Times New Roman" w:eastAsia="仿宋"/>
                <w:color w:val="auto"/>
                <w:sz w:val="21"/>
                <w:szCs w:val="21"/>
              </w:rPr>
              <w:t>评分标准：</w:t>
            </w:r>
          </w:p>
          <w:p w14:paraId="3E5D6A41">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（1）方案内容不存在瑕疵，得25分；</w:t>
            </w:r>
          </w:p>
          <w:p w14:paraId="20C2188E">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（2）方案内容存在1处瑕疵，得20分；</w:t>
            </w:r>
          </w:p>
          <w:p w14:paraId="5134CA5D">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（3）方案内容存在2处瑕疵，得15分；</w:t>
            </w:r>
          </w:p>
          <w:p w14:paraId="71443643">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（4）方案内容存在3处瑕疵，得5分；</w:t>
            </w:r>
          </w:p>
          <w:p w14:paraId="60E2986E">
            <w:pPr>
              <w:spacing w:line="240" w:lineRule="exact"/>
              <w:ind w:firstLine="0" w:firstLineChars="0"/>
              <w:rPr>
                <w:rFonts w:ascii="Times New Roman" w:eastAsia="仿宋"/>
                <w:color w:val="auto"/>
                <w:kern w:val="0"/>
                <w:sz w:val="21"/>
                <w:szCs w:val="20"/>
              </w:rPr>
            </w:pPr>
            <w:r>
              <w:rPr>
                <w:rFonts w:hint="eastAsia" w:ascii="Times New Roman" w:hAnsi="Times New Roman" w:eastAsia="仿宋"/>
                <w:color w:val="auto"/>
                <w:sz w:val="21"/>
                <w:szCs w:val="21"/>
              </w:rPr>
              <w:t>（5）方案内容存在4处及以上瑕疵的或未提供得0分。</w:t>
            </w:r>
          </w:p>
          <w:p w14:paraId="6FFEA9F8">
            <w:pPr>
              <w:pStyle w:val="27"/>
              <w:autoSpaceDE/>
              <w:autoSpaceDN/>
              <w:adjustRightInd/>
              <w:spacing w:line="240" w:lineRule="exact"/>
              <w:rPr>
                <w:rFonts w:ascii="Times New Roman" w:eastAsia="仿宋"/>
                <w:color w:val="auto"/>
                <w:sz w:val="21"/>
              </w:rPr>
            </w:pPr>
          </w:p>
          <w:p w14:paraId="17CB9285">
            <w:pPr>
              <w:spacing w:line="240" w:lineRule="exact"/>
              <w:ind w:firstLine="0" w:firstLineChars="0"/>
              <w:jc w:val="left"/>
              <w:rPr>
                <w:rFonts w:ascii="Times New Roman" w:hAnsi="Times New Roman" w:eastAsia="仿宋"/>
                <w:color w:val="auto"/>
                <w:sz w:val="21"/>
                <w:szCs w:val="21"/>
              </w:rPr>
            </w:pPr>
            <w:r>
              <w:rPr>
                <w:rFonts w:hint="eastAsia" w:ascii="Times New Roman" w:hAnsi="Times New Roman" w:eastAsia="仿宋"/>
                <w:color w:val="auto"/>
                <w:sz w:val="21"/>
                <w:szCs w:val="21"/>
              </w:rPr>
              <w:t>2.舆情服务方案（20分）</w:t>
            </w:r>
          </w:p>
          <w:p w14:paraId="77C0C2DE">
            <w:pPr>
              <w:spacing w:line="240" w:lineRule="exact"/>
              <w:ind w:firstLine="0" w:firstLineChars="0"/>
              <w:jc w:val="left"/>
              <w:rPr>
                <w:rFonts w:ascii="Times New Roman" w:hAnsi="Times New Roman" w:eastAsia="仿宋"/>
                <w:color w:val="auto"/>
                <w:sz w:val="21"/>
                <w:szCs w:val="21"/>
              </w:rPr>
            </w:pPr>
            <w:r>
              <w:rPr>
                <w:rFonts w:hint="eastAsia" w:ascii="Times New Roman" w:hAnsi="Times New Roman" w:eastAsia="仿宋"/>
                <w:color w:val="auto"/>
                <w:sz w:val="21"/>
                <w:szCs w:val="21"/>
              </w:rPr>
              <w:t>针对宣传运营过程中可能出现的舆情，提供应急处理方案，包括但不限于监测方式、舆情分级响应机制、话术与内容管理等。评分标准：</w:t>
            </w:r>
          </w:p>
          <w:p w14:paraId="3900B496">
            <w:pPr>
              <w:spacing w:line="240" w:lineRule="exact"/>
              <w:ind w:firstLine="0" w:firstLineChars="0"/>
              <w:jc w:val="left"/>
              <w:rPr>
                <w:rFonts w:ascii="Times New Roman" w:hAnsi="Times New Roman" w:eastAsia="仿宋"/>
                <w:color w:val="auto"/>
                <w:sz w:val="21"/>
                <w:szCs w:val="21"/>
              </w:rPr>
            </w:pPr>
            <w:r>
              <w:rPr>
                <w:rFonts w:hint="eastAsia" w:ascii="Times New Roman" w:hAnsi="Times New Roman" w:eastAsia="仿宋"/>
                <w:color w:val="auto"/>
                <w:sz w:val="21"/>
                <w:szCs w:val="21"/>
              </w:rPr>
              <w:t>（1）方案内容不存在瑕疵，得20分；</w:t>
            </w:r>
          </w:p>
          <w:p w14:paraId="6B1CB4BB">
            <w:pPr>
              <w:spacing w:line="240" w:lineRule="exact"/>
              <w:ind w:firstLine="0" w:firstLineChars="0"/>
              <w:jc w:val="left"/>
              <w:rPr>
                <w:rFonts w:ascii="Times New Roman" w:hAnsi="Times New Roman" w:eastAsia="仿宋"/>
                <w:color w:val="auto"/>
                <w:sz w:val="21"/>
                <w:szCs w:val="21"/>
              </w:rPr>
            </w:pPr>
            <w:r>
              <w:rPr>
                <w:rFonts w:hint="eastAsia" w:ascii="Times New Roman" w:hAnsi="Times New Roman" w:eastAsia="仿宋"/>
                <w:color w:val="auto"/>
                <w:sz w:val="21"/>
                <w:szCs w:val="21"/>
              </w:rPr>
              <w:t>（2）方案内容存在1处瑕疵，得15分；</w:t>
            </w:r>
          </w:p>
          <w:p w14:paraId="474E6CC2">
            <w:pPr>
              <w:spacing w:line="240" w:lineRule="exact"/>
              <w:ind w:firstLine="0" w:firstLineChars="0"/>
              <w:jc w:val="left"/>
              <w:rPr>
                <w:rFonts w:ascii="Times New Roman" w:hAnsi="Times New Roman" w:eastAsia="仿宋"/>
                <w:color w:val="auto"/>
                <w:sz w:val="21"/>
                <w:szCs w:val="21"/>
              </w:rPr>
            </w:pPr>
            <w:r>
              <w:rPr>
                <w:rFonts w:hint="eastAsia" w:ascii="Times New Roman" w:hAnsi="Times New Roman" w:eastAsia="仿宋"/>
                <w:color w:val="auto"/>
                <w:sz w:val="21"/>
                <w:szCs w:val="21"/>
              </w:rPr>
              <w:t>（3）方案内容存在2处瑕疵，得10分；</w:t>
            </w:r>
          </w:p>
          <w:p w14:paraId="26AF2E03">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szCs w:val="21"/>
              </w:rPr>
              <w:t>（4）方案内容存在3处瑕疵，得5分；</w:t>
            </w:r>
          </w:p>
          <w:p w14:paraId="2984F345">
            <w:pPr>
              <w:spacing w:line="240" w:lineRule="exact"/>
              <w:ind w:firstLine="0" w:firstLineChars="0"/>
              <w:rPr>
                <w:rFonts w:ascii="Times New Roman" w:hAnsi="Times New Roman" w:eastAsia="仿宋"/>
                <w:color w:val="auto"/>
                <w:sz w:val="18"/>
                <w:szCs w:val="18"/>
              </w:rPr>
            </w:pPr>
            <w:r>
              <w:rPr>
                <w:rFonts w:hint="eastAsia" w:ascii="Times New Roman" w:hAnsi="Times New Roman" w:eastAsia="仿宋"/>
                <w:color w:val="auto"/>
                <w:sz w:val="21"/>
                <w:szCs w:val="21"/>
              </w:rPr>
              <w:t>（5）方案内容存在3处及以上瑕疵的或未提供得0分</w:t>
            </w:r>
            <w:r>
              <w:rPr>
                <w:rFonts w:ascii="Times New Roman" w:hAnsi="Times New Roman" w:eastAsia="仿宋"/>
                <w:color w:val="auto"/>
                <w:sz w:val="18"/>
                <w:szCs w:val="18"/>
              </w:rPr>
              <w:t>。</w:t>
            </w:r>
          </w:p>
          <w:p w14:paraId="6C757129">
            <w:pPr>
              <w:spacing w:line="240" w:lineRule="exact"/>
              <w:ind w:firstLine="0" w:firstLineChars="0"/>
              <w:jc w:val="left"/>
              <w:rPr>
                <w:rFonts w:ascii="Times New Roman" w:hAnsi="Times New Roman" w:eastAsia="仿宋"/>
                <w:color w:val="auto"/>
                <w:sz w:val="21"/>
                <w:szCs w:val="21"/>
              </w:rPr>
            </w:pPr>
          </w:p>
        </w:tc>
        <w:tc>
          <w:tcPr>
            <w:tcW w:w="1868" w:type="dxa"/>
            <w:vAlign w:val="center"/>
          </w:tcPr>
          <w:p w14:paraId="70831C97">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参选人在比选申请文件中提供相关方案。</w:t>
            </w:r>
          </w:p>
          <w:p w14:paraId="70ECBFDE">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注：本项内容中所称的“瑕疵”：</w:t>
            </w:r>
          </w:p>
          <w:p w14:paraId="4589A0F5">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①要素欠缺、仅有标题而无实质意义叙述内容、内容表述不完整、缺少关键分析点；</w:t>
            </w:r>
          </w:p>
          <w:p w14:paraId="4BF0B3D7">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②缺乏科学合理性或存在逻辑漏洞、常识错误；</w:t>
            </w:r>
          </w:p>
          <w:p w14:paraId="6C301AF7">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③方案内容表述前后矛盾或无连贯性；</w:t>
            </w:r>
          </w:p>
          <w:p w14:paraId="0C876A19">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④内容空泛，无具体实施方法或内容；</w:t>
            </w:r>
          </w:p>
          <w:p w14:paraId="41FDF801">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⑤方案不适用本项目特性、非专门针对本项目制定、方案相关内容不利于项目目标实现；</w:t>
            </w:r>
          </w:p>
          <w:p w14:paraId="47201DAC">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⑥方案内容中包含其他项目名称，或出现与本项目不相关的其他内容；</w:t>
            </w:r>
          </w:p>
          <w:p w14:paraId="361F2B1F">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⑦现有技术条件下不可能实现目标。</w:t>
            </w:r>
          </w:p>
          <w:p w14:paraId="64C623B8">
            <w:pPr>
              <w:spacing w:line="200" w:lineRule="exact"/>
              <w:ind w:left="-38" w:firstLine="0" w:firstLineChars="0"/>
              <w:rPr>
                <w:rFonts w:ascii="Times New Roman" w:hAnsi="Times New Roman" w:eastAsia="仿宋"/>
                <w:color w:val="auto"/>
                <w:sz w:val="21"/>
                <w:szCs w:val="21"/>
              </w:rPr>
            </w:pPr>
            <w:r>
              <w:rPr>
                <w:rFonts w:ascii="Times New Roman" w:hAnsi="Times New Roman" w:eastAsia="仿宋"/>
                <w:color w:val="auto"/>
                <w:sz w:val="18"/>
                <w:szCs w:val="18"/>
              </w:rPr>
              <w:t>上述任意一种情形为1处瑕疵</w:t>
            </w:r>
          </w:p>
        </w:tc>
      </w:tr>
      <w:tr w14:paraId="795EA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99" w:hRule="atLeast"/>
          <w:jc w:val="center"/>
        </w:trPr>
        <w:tc>
          <w:tcPr>
            <w:tcW w:w="805" w:type="dxa"/>
            <w:vMerge w:val="continue"/>
            <w:vAlign w:val="center"/>
          </w:tcPr>
          <w:p w14:paraId="7FA26716">
            <w:pPr>
              <w:spacing w:line="220" w:lineRule="exact"/>
              <w:ind w:firstLine="0" w:firstLineChars="0"/>
              <w:jc w:val="center"/>
              <w:rPr>
                <w:rFonts w:ascii="Times New Roman" w:hAnsi="Times New Roman" w:eastAsia="仿宋"/>
                <w:color w:val="auto"/>
                <w:sz w:val="21"/>
                <w:szCs w:val="21"/>
              </w:rPr>
            </w:pPr>
          </w:p>
        </w:tc>
        <w:tc>
          <w:tcPr>
            <w:tcW w:w="1125" w:type="dxa"/>
            <w:vMerge w:val="continue"/>
            <w:vAlign w:val="center"/>
          </w:tcPr>
          <w:p w14:paraId="1459A152">
            <w:pPr>
              <w:spacing w:line="220" w:lineRule="exact"/>
              <w:ind w:firstLine="0" w:firstLineChars="0"/>
              <w:jc w:val="center"/>
              <w:rPr>
                <w:rFonts w:ascii="Times New Roman" w:hAnsi="Times New Roman" w:eastAsia="仿宋"/>
                <w:color w:val="auto"/>
                <w:sz w:val="21"/>
                <w:szCs w:val="21"/>
              </w:rPr>
            </w:pPr>
          </w:p>
        </w:tc>
        <w:tc>
          <w:tcPr>
            <w:tcW w:w="1231" w:type="dxa"/>
            <w:vAlign w:val="center"/>
          </w:tcPr>
          <w:p w14:paraId="4D8E70AC">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服务团队（5分）</w:t>
            </w:r>
          </w:p>
        </w:tc>
        <w:tc>
          <w:tcPr>
            <w:tcW w:w="4895" w:type="dxa"/>
            <w:vAlign w:val="center"/>
          </w:tcPr>
          <w:p w14:paraId="6C8564ED">
            <w:pPr>
              <w:spacing w:line="240" w:lineRule="exact"/>
              <w:ind w:firstLine="0" w:firstLineChars="0"/>
              <w:rPr>
                <w:rFonts w:ascii="Times New Roman" w:hAnsi="Times New Roman" w:eastAsia="仿宋"/>
                <w:color w:val="auto"/>
                <w:sz w:val="21"/>
                <w:szCs w:val="21"/>
              </w:rPr>
            </w:pPr>
            <w:r>
              <w:rPr>
                <w:rFonts w:hint="eastAsia" w:ascii="Times New Roman" w:hAnsi="Times New Roman" w:eastAsia="仿宋"/>
                <w:color w:val="auto"/>
                <w:sz w:val="21"/>
              </w:rPr>
              <w:t>拟派团队中，无人机飞手具备中国民航局颁发的《轻型民用无人驾驶航空器安全操控理论培训合格证明》，得5分，不具备或未提供不得分。</w:t>
            </w:r>
          </w:p>
        </w:tc>
        <w:tc>
          <w:tcPr>
            <w:tcW w:w="1868" w:type="dxa"/>
            <w:vAlign w:val="center"/>
          </w:tcPr>
          <w:p w14:paraId="547DCE42">
            <w:pPr>
              <w:spacing w:line="240" w:lineRule="exact"/>
              <w:ind w:firstLine="0" w:firstLineChars="0"/>
              <w:jc w:val="left"/>
              <w:rPr>
                <w:rFonts w:ascii="Times New Roman" w:hAnsi="Times New Roman" w:eastAsia="仿宋"/>
                <w:color w:val="auto"/>
                <w:sz w:val="18"/>
                <w:szCs w:val="18"/>
              </w:rPr>
            </w:pPr>
            <w:r>
              <w:rPr>
                <w:rFonts w:hint="eastAsia" w:ascii="Times New Roman" w:hAnsi="Times New Roman" w:eastAsia="仿宋"/>
                <w:color w:val="auto"/>
                <w:sz w:val="18"/>
                <w:szCs w:val="18"/>
              </w:rPr>
              <w:t>提供培训合格证明复印件加盖参选人公章</w:t>
            </w:r>
          </w:p>
        </w:tc>
      </w:tr>
      <w:tr w14:paraId="4DF745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433" w:hRule="atLeast"/>
          <w:jc w:val="center"/>
        </w:trPr>
        <w:tc>
          <w:tcPr>
            <w:tcW w:w="805" w:type="dxa"/>
            <w:tcBorders>
              <w:bottom w:val="single" w:color="000000" w:sz="4" w:space="0"/>
            </w:tcBorders>
            <w:vAlign w:val="center"/>
          </w:tcPr>
          <w:p w14:paraId="3EEEACDA">
            <w:pPr>
              <w:spacing w:line="220" w:lineRule="exact"/>
              <w:ind w:firstLine="210" w:firstLineChars="100"/>
              <w:jc w:val="left"/>
              <w:rPr>
                <w:rFonts w:ascii="Times New Roman" w:hAnsi="Times New Roman" w:eastAsia="仿宋"/>
                <w:color w:val="auto"/>
                <w:sz w:val="21"/>
                <w:szCs w:val="21"/>
              </w:rPr>
            </w:pPr>
            <w:r>
              <w:rPr>
                <w:rFonts w:hint="eastAsia" w:ascii="Times New Roman" w:hAnsi="Times New Roman" w:eastAsia="仿宋"/>
                <w:color w:val="auto"/>
                <w:sz w:val="21"/>
                <w:szCs w:val="21"/>
              </w:rPr>
              <w:t>3</w:t>
            </w:r>
          </w:p>
        </w:tc>
        <w:tc>
          <w:tcPr>
            <w:tcW w:w="1125" w:type="dxa"/>
            <w:tcBorders>
              <w:bottom w:val="single" w:color="000000" w:sz="4" w:space="0"/>
            </w:tcBorders>
            <w:vAlign w:val="center"/>
          </w:tcPr>
          <w:p w14:paraId="656A0BD2">
            <w:pPr>
              <w:spacing w:line="220" w:lineRule="exact"/>
              <w:ind w:firstLine="0" w:firstLineChars="0"/>
              <w:jc w:val="center"/>
              <w:rPr>
                <w:rFonts w:ascii="Times New Roman" w:hAnsi="Times New Roman" w:eastAsia="仿宋"/>
                <w:color w:val="auto"/>
                <w:sz w:val="21"/>
                <w:szCs w:val="21"/>
              </w:rPr>
            </w:pPr>
          </w:p>
          <w:p w14:paraId="30547552">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商务</w:t>
            </w:r>
          </w:p>
          <w:p w14:paraId="33259232">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部分</w:t>
            </w:r>
          </w:p>
          <w:p w14:paraId="436665F9">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w:t>
            </w:r>
            <w:r>
              <w:rPr>
                <w:rFonts w:hint="eastAsia" w:ascii="Times New Roman" w:hAnsi="Times New Roman" w:eastAsia="仿宋"/>
                <w:color w:val="auto"/>
                <w:sz w:val="21"/>
                <w:szCs w:val="21"/>
              </w:rPr>
              <w:t>15</w:t>
            </w:r>
            <w:r>
              <w:rPr>
                <w:rFonts w:ascii="Times New Roman" w:hAnsi="Times New Roman" w:eastAsia="仿宋"/>
                <w:color w:val="auto"/>
                <w:sz w:val="21"/>
                <w:szCs w:val="21"/>
              </w:rPr>
              <w:t>%)</w:t>
            </w:r>
          </w:p>
        </w:tc>
        <w:tc>
          <w:tcPr>
            <w:tcW w:w="1231" w:type="dxa"/>
            <w:tcBorders>
              <w:bottom w:val="single" w:color="000000" w:sz="4" w:space="0"/>
            </w:tcBorders>
            <w:vAlign w:val="center"/>
          </w:tcPr>
          <w:p w14:paraId="4A62EB2E">
            <w:pPr>
              <w:spacing w:line="220" w:lineRule="exact"/>
              <w:ind w:firstLine="0" w:firstLineChars="0"/>
              <w:jc w:val="center"/>
              <w:rPr>
                <w:rFonts w:ascii="Times New Roman" w:hAnsi="Times New Roman" w:eastAsia="仿宋"/>
                <w:color w:val="auto"/>
                <w:sz w:val="21"/>
                <w:szCs w:val="21"/>
              </w:rPr>
            </w:pPr>
            <w:r>
              <w:rPr>
                <w:rFonts w:ascii="Times New Roman" w:hAnsi="Times New Roman" w:eastAsia="仿宋"/>
                <w:color w:val="auto"/>
                <w:sz w:val="21"/>
                <w:szCs w:val="21"/>
              </w:rPr>
              <w:t>企业业绩</w:t>
            </w:r>
          </w:p>
          <w:p w14:paraId="4FE528DD">
            <w:pPr>
              <w:spacing w:line="220" w:lineRule="exact"/>
              <w:ind w:firstLine="0" w:firstLineChars="0"/>
              <w:jc w:val="center"/>
              <w:rPr>
                <w:rFonts w:ascii="Times New Roman" w:hAnsi="Times New Roman" w:eastAsia="仿宋"/>
                <w:color w:val="auto"/>
                <w:sz w:val="21"/>
                <w:szCs w:val="21"/>
              </w:rPr>
            </w:pPr>
            <w:r>
              <w:rPr>
                <w:rFonts w:hint="eastAsia" w:ascii="Times New Roman" w:hAnsi="Times New Roman" w:eastAsia="仿宋"/>
                <w:color w:val="auto"/>
                <w:sz w:val="21"/>
                <w:szCs w:val="21"/>
              </w:rPr>
              <w:t>（15</w:t>
            </w:r>
            <w:r>
              <w:rPr>
                <w:rFonts w:ascii="Times New Roman" w:hAnsi="Times New Roman" w:eastAsia="仿宋"/>
                <w:color w:val="auto"/>
                <w:sz w:val="21"/>
                <w:szCs w:val="21"/>
              </w:rPr>
              <w:t>分</w:t>
            </w:r>
            <w:r>
              <w:rPr>
                <w:rFonts w:hint="eastAsia" w:ascii="Times New Roman" w:hAnsi="Times New Roman" w:eastAsia="仿宋"/>
                <w:color w:val="auto"/>
                <w:sz w:val="21"/>
                <w:szCs w:val="21"/>
              </w:rPr>
              <w:t>）</w:t>
            </w:r>
          </w:p>
        </w:tc>
        <w:tc>
          <w:tcPr>
            <w:tcW w:w="4895" w:type="dxa"/>
            <w:tcBorders>
              <w:bottom w:val="single" w:color="000000" w:sz="4" w:space="0"/>
            </w:tcBorders>
            <w:vAlign w:val="center"/>
          </w:tcPr>
          <w:p w14:paraId="255D885E">
            <w:pPr>
              <w:spacing w:line="240" w:lineRule="exact"/>
              <w:ind w:firstLine="0" w:firstLineChars="0"/>
            </w:pPr>
            <w:r>
              <w:rPr>
                <w:rFonts w:hint="eastAsia" w:ascii="Times New Roman" w:hAnsi="Times New Roman" w:eastAsia="仿宋"/>
                <w:color w:val="auto"/>
                <w:sz w:val="21"/>
              </w:rPr>
              <w:t>投标人自2023年1月1日至投标截止时间（以合同签订时间为准）止，具有类似业绩（文旅类账号运营/宣传服务或体育赛事相关宣传运营服务），每</w:t>
            </w:r>
            <w:r>
              <w:rPr>
                <w:rFonts w:ascii="Times New Roman" w:hAnsi="Times New Roman" w:eastAsia="仿宋"/>
                <w:color w:val="auto"/>
                <w:sz w:val="21"/>
              </w:rPr>
              <w:t>提供1个有效业绩合同，可获得</w:t>
            </w:r>
            <w:r>
              <w:rPr>
                <w:rFonts w:hint="eastAsia" w:ascii="Times New Roman" w:hAnsi="Times New Roman" w:eastAsia="仿宋"/>
                <w:color w:val="auto"/>
                <w:sz w:val="21"/>
              </w:rPr>
              <w:t>5</w:t>
            </w:r>
            <w:r>
              <w:rPr>
                <w:rFonts w:ascii="Times New Roman" w:hAnsi="Times New Roman" w:eastAsia="仿宋"/>
                <w:color w:val="auto"/>
                <w:sz w:val="21"/>
              </w:rPr>
              <w:t>分</w:t>
            </w:r>
            <w:r>
              <w:rPr>
                <w:rFonts w:hint="eastAsia" w:ascii="Times New Roman" w:hAnsi="Times New Roman" w:eastAsia="仿宋"/>
                <w:color w:val="auto"/>
                <w:sz w:val="21"/>
              </w:rPr>
              <w:t>，本项最高得15分</w:t>
            </w:r>
            <w:r>
              <w:rPr>
                <w:rFonts w:ascii="Times New Roman" w:hAnsi="Times New Roman" w:eastAsia="仿宋"/>
                <w:color w:val="auto"/>
                <w:sz w:val="21"/>
              </w:rPr>
              <w:t>。</w:t>
            </w:r>
          </w:p>
        </w:tc>
        <w:tc>
          <w:tcPr>
            <w:tcW w:w="1868" w:type="dxa"/>
            <w:tcBorders>
              <w:bottom w:val="single" w:color="000000" w:sz="4" w:space="0"/>
            </w:tcBorders>
            <w:vAlign w:val="center"/>
          </w:tcPr>
          <w:p w14:paraId="10454F13">
            <w:pPr>
              <w:spacing w:line="200" w:lineRule="exact"/>
              <w:ind w:firstLine="0" w:firstLineChars="0"/>
              <w:jc w:val="left"/>
              <w:rPr>
                <w:rFonts w:ascii="Times New Roman" w:hAnsi="Times New Roman" w:eastAsia="仿宋"/>
                <w:color w:val="auto"/>
                <w:sz w:val="18"/>
                <w:szCs w:val="18"/>
              </w:rPr>
            </w:pPr>
            <w:r>
              <w:rPr>
                <w:rFonts w:ascii="Times New Roman" w:hAnsi="Times New Roman" w:eastAsia="仿宋"/>
                <w:color w:val="auto"/>
                <w:sz w:val="18"/>
                <w:szCs w:val="18"/>
              </w:rPr>
              <w:t>提供包含合同首页、签章页、金额页的合同复印件并加盖参选人公章</w:t>
            </w:r>
            <w:r>
              <w:rPr>
                <w:rFonts w:hint="eastAsia" w:ascii="Times New Roman" w:hAnsi="Times New Roman" w:eastAsia="仿宋"/>
                <w:color w:val="auto"/>
                <w:sz w:val="18"/>
                <w:szCs w:val="18"/>
              </w:rPr>
              <w:t>。</w:t>
            </w:r>
          </w:p>
        </w:tc>
      </w:tr>
    </w:tbl>
    <w:p w14:paraId="22443288">
      <w:pPr>
        <w:spacing w:line="400" w:lineRule="exact"/>
        <w:ind w:firstLine="0" w:firstLineChars="0"/>
        <w:jc w:val="left"/>
        <w:rPr>
          <w:rFonts w:ascii="Times New Roman" w:hAnsi="Times New Roman" w:eastAsia="仿宋"/>
          <w:bCs/>
          <w:color w:val="auto"/>
          <w:sz w:val="24"/>
        </w:rPr>
      </w:pPr>
      <w:r>
        <w:rPr>
          <w:rFonts w:ascii="Times New Roman" w:hAnsi="Times New Roman" w:eastAsia="仿宋"/>
          <w:bCs/>
          <w:color w:val="auto"/>
          <w:sz w:val="24"/>
        </w:rPr>
        <w:t>说明：</w:t>
      </w:r>
      <w:r>
        <w:rPr>
          <w:rFonts w:hint="eastAsia" w:ascii="Times New Roman" w:hAnsi="Times New Roman" w:eastAsia="仿宋"/>
          <w:bCs/>
          <w:color w:val="auto"/>
          <w:sz w:val="24"/>
        </w:rPr>
        <w:t>比选小组</w:t>
      </w:r>
      <w:r>
        <w:rPr>
          <w:rFonts w:ascii="Times New Roman" w:hAnsi="Times New Roman" w:eastAsia="仿宋"/>
          <w:bCs/>
          <w:color w:val="auto"/>
          <w:sz w:val="24"/>
        </w:rPr>
        <w:t>认为参选人的报价明显低于其他通过符合性审查</w:t>
      </w:r>
      <w:r>
        <w:rPr>
          <w:rFonts w:hint="eastAsia" w:ascii="Times New Roman" w:hAnsi="Times New Roman" w:eastAsia="仿宋"/>
          <w:bCs/>
          <w:color w:val="auto"/>
          <w:sz w:val="24"/>
        </w:rPr>
        <w:t>参选</w:t>
      </w:r>
      <w:r>
        <w:rPr>
          <w:rFonts w:ascii="Times New Roman" w:hAnsi="Times New Roman" w:eastAsia="仿宋"/>
          <w:bCs/>
          <w:color w:val="auto"/>
          <w:sz w:val="24"/>
        </w:rPr>
        <w:t>人的报价，有可能影响产品质量或者不能诚信履约的，应当要求其在比选现场合理的时间内提供书面说明，必要时提交相关证明材料；参选人不能证明其报价合理性的，</w:t>
      </w:r>
      <w:r>
        <w:rPr>
          <w:rFonts w:hint="eastAsia" w:ascii="Times New Roman" w:hAnsi="Times New Roman" w:eastAsia="仿宋"/>
          <w:bCs/>
          <w:color w:val="auto"/>
          <w:sz w:val="24"/>
        </w:rPr>
        <w:t>比选小组</w:t>
      </w:r>
      <w:r>
        <w:rPr>
          <w:rFonts w:ascii="Times New Roman" w:hAnsi="Times New Roman" w:eastAsia="仿宋"/>
          <w:bCs/>
          <w:color w:val="auto"/>
          <w:sz w:val="24"/>
        </w:rPr>
        <w:t>应当将其作为无效比选处理。</w:t>
      </w:r>
    </w:p>
    <w:p w14:paraId="2D53536A">
      <w:pPr>
        <w:numPr>
          <w:ilvl w:val="255"/>
          <w:numId w:val="0"/>
        </w:numPr>
        <w:adjustRightInd w:val="0"/>
        <w:snapToGrid w:val="0"/>
        <w:ind w:firstLine="560"/>
        <w:jc w:val="left"/>
        <w:rPr>
          <w:rFonts w:ascii="Times New Roman" w:hAnsi="Times New Roman" w:eastAsia="方正黑体_GBK"/>
          <w:color w:val="000000"/>
          <w:szCs w:val="20"/>
        </w:rPr>
      </w:pPr>
      <w:bookmarkStart w:id="102" w:name="_Toc27781"/>
      <w:bookmarkStart w:id="103" w:name="_Toc105081925"/>
      <w:bookmarkStart w:id="104" w:name="_Toc26660"/>
      <w:bookmarkStart w:id="105" w:name="_Toc9870"/>
      <w:bookmarkStart w:id="106" w:name="_Toc7618"/>
      <w:r>
        <w:rPr>
          <w:rFonts w:hint="eastAsia" w:ascii="Times New Roman" w:hAnsi="Times New Roman" w:eastAsia="方正黑体_GBK"/>
          <w:color w:val="000000"/>
          <w:szCs w:val="20"/>
        </w:rPr>
        <w:t>四、无效响应</w:t>
      </w:r>
    </w:p>
    <w:p w14:paraId="70B3D256">
      <w:pPr>
        <w:ind w:firstLine="560"/>
        <w:rPr>
          <w:rFonts w:ascii="Times New Roman" w:hAnsi="Times New Roman" w:eastAsia="仿宋"/>
          <w:color w:val="auto"/>
        </w:rPr>
      </w:pPr>
      <w:r>
        <w:rPr>
          <w:rFonts w:hint="eastAsia" w:ascii="Times New Roman" w:hAnsi="Times New Roman" w:eastAsia="仿宋"/>
          <w:color w:val="auto"/>
        </w:rPr>
        <w:t>参选人</w:t>
      </w:r>
      <w:r>
        <w:rPr>
          <w:rFonts w:ascii="Times New Roman" w:hAnsi="Times New Roman" w:eastAsia="仿宋"/>
          <w:color w:val="auto"/>
        </w:rPr>
        <w:t>发生以下条款情况之一者，视为无效响应：</w:t>
      </w:r>
    </w:p>
    <w:p w14:paraId="3D991C5C">
      <w:pPr>
        <w:ind w:firstLine="560"/>
        <w:rPr>
          <w:rFonts w:ascii="Times New Roman" w:hAnsi="Times New Roman" w:eastAsia="仿宋"/>
          <w:color w:val="auto"/>
        </w:rPr>
      </w:pPr>
      <w:r>
        <w:rPr>
          <w:rFonts w:ascii="Times New Roman" w:hAnsi="Times New Roman" w:eastAsia="仿宋"/>
          <w:color w:val="auto"/>
        </w:rPr>
        <w:t>（一）</w:t>
      </w:r>
      <w:r>
        <w:rPr>
          <w:rFonts w:hint="eastAsia" w:ascii="Times New Roman" w:hAnsi="Times New Roman" w:eastAsia="仿宋"/>
          <w:color w:val="auto"/>
        </w:rPr>
        <w:t>参选人</w:t>
      </w:r>
      <w:r>
        <w:rPr>
          <w:rFonts w:ascii="Times New Roman" w:hAnsi="Times New Roman" w:eastAsia="仿宋"/>
          <w:color w:val="auto"/>
        </w:rPr>
        <w:t>不符合规定的基本资格条件或特定资格条件的；</w:t>
      </w:r>
    </w:p>
    <w:p w14:paraId="35E1DDA6">
      <w:pPr>
        <w:ind w:firstLine="560"/>
        <w:rPr>
          <w:rFonts w:ascii="Times New Roman" w:hAnsi="Times New Roman" w:eastAsia="仿宋"/>
          <w:color w:val="auto"/>
        </w:rPr>
      </w:pPr>
      <w:r>
        <w:rPr>
          <w:rFonts w:ascii="Times New Roman" w:hAnsi="Times New Roman" w:eastAsia="仿宋"/>
          <w:color w:val="auto"/>
        </w:rPr>
        <w:t>（二）</w:t>
      </w:r>
      <w:r>
        <w:rPr>
          <w:rFonts w:hint="eastAsia" w:ascii="Times New Roman" w:hAnsi="Times New Roman" w:eastAsia="仿宋"/>
          <w:color w:val="auto"/>
        </w:rPr>
        <w:t>参选人</w:t>
      </w:r>
      <w:r>
        <w:rPr>
          <w:rFonts w:ascii="Times New Roman" w:hAnsi="Times New Roman" w:eastAsia="仿宋"/>
          <w:color w:val="auto"/>
        </w:rPr>
        <w:t>的法定代表人或其授权代表未参加比选；</w:t>
      </w:r>
    </w:p>
    <w:p w14:paraId="3500F62F">
      <w:pPr>
        <w:ind w:firstLine="560"/>
        <w:rPr>
          <w:rFonts w:ascii="Times New Roman" w:hAnsi="Times New Roman" w:eastAsia="仿宋"/>
          <w:color w:val="auto"/>
        </w:rPr>
      </w:pPr>
      <w:r>
        <w:rPr>
          <w:rFonts w:ascii="Times New Roman" w:hAnsi="Times New Roman" w:eastAsia="仿宋"/>
          <w:color w:val="auto"/>
        </w:rPr>
        <w:t>（三）</w:t>
      </w:r>
      <w:r>
        <w:rPr>
          <w:rFonts w:hint="eastAsia" w:ascii="Times New Roman" w:hAnsi="Times New Roman" w:eastAsia="仿宋"/>
          <w:color w:val="auto"/>
        </w:rPr>
        <w:t>参选人</w:t>
      </w:r>
      <w:r>
        <w:rPr>
          <w:rFonts w:ascii="Times New Roman" w:hAnsi="Times New Roman" w:eastAsia="仿宋"/>
          <w:color w:val="auto"/>
        </w:rPr>
        <w:t>所提交的参选文件不按第七篇“参选文件编制要求”规定签字、盖章；</w:t>
      </w:r>
    </w:p>
    <w:p w14:paraId="00F12A7E">
      <w:pPr>
        <w:ind w:firstLine="560"/>
        <w:rPr>
          <w:rFonts w:ascii="Times New Roman" w:hAnsi="Times New Roman" w:eastAsia="仿宋"/>
          <w:color w:val="auto"/>
        </w:rPr>
      </w:pPr>
      <w:r>
        <w:rPr>
          <w:rFonts w:ascii="Times New Roman" w:hAnsi="Times New Roman" w:eastAsia="仿宋"/>
          <w:color w:val="auto"/>
        </w:rPr>
        <w:t>（四）</w:t>
      </w:r>
      <w:r>
        <w:rPr>
          <w:rFonts w:hint="eastAsia" w:ascii="Times New Roman" w:hAnsi="Times New Roman" w:eastAsia="仿宋"/>
          <w:color w:val="auto"/>
        </w:rPr>
        <w:t>参选人</w:t>
      </w:r>
      <w:r>
        <w:rPr>
          <w:rFonts w:ascii="Times New Roman" w:hAnsi="Times New Roman" w:eastAsia="仿宋"/>
          <w:color w:val="auto"/>
        </w:rPr>
        <w:t>的报价超过采购限价的；</w:t>
      </w:r>
    </w:p>
    <w:p w14:paraId="3EF7C6D7">
      <w:pPr>
        <w:ind w:firstLine="560"/>
        <w:rPr>
          <w:rFonts w:ascii="Times New Roman" w:hAnsi="Times New Roman" w:eastAsia="仿宋"/>
          <w:color w:val="auto"/>
        </w:rPr>
      </w:pPr>
      <w:r>
        <w:rPr>
          <w:rFonts w:ascii="Times New Roman" w:hAnsi="Times New Roman" w:eastAsia="仿宋"/>
          <w:color w:val="auto"/>
        </w:rPr>
        <w:t>（五）法定代表人为同一个人的两个及两个以上法人，母公司、全资子公司及其控股公司，在同一分包采购中同时参与比选；</w:t>
      </w:r>
    </w:p>
    <w:p w14:paraId="4294003F">
      <w:pPr>
        <w:ind w:firstLine="560"/>
        <w:rPr>
          <w:rFonts w:ascii="Times New Roman" w:hAnsi="Times New Roman" w:eastAsia="仿宋"/>
          <w:color w:val="auto"/>
        </w:rPr>
      </w:pPr>
      <w:r>
        <w:rPr>
          <w:rFonts w:ascii="Times New Roman" w:hAnsi="Times New Roman" w:eastAsia="仿宋"/>
          <w:color w:val="auto"/>
        </w:rPr>
        <w:t>（六）单位负责人为同一人或者存在直接控股、管理关系的不同</w:t>
      </w:r>
      <w:r>
        <w:rPr>
          <w:rFonts w:hint="eastAsia" w:ascii="Times New Roman" w:hAnsi="Times New Roman" w:eastAsia="仿宋"/>
          <w:color w:val="auto"/>
        </w:rPr>
        <w:t>参选人</w:t>
      </w:r>
      <w:r>
        <w:rPr>
          <w:rFonts w:ascii="Times New Roman" w:hAnsi="Times New Roman" w:eastAsia="仿宋"/>
          <w:color w:val="auto"/>
        </w:rPr>
        <w:t>，参加同一合同项下的政府采购活动的；</w:t>
      </w:r>
    </w:p>
    <w:p w14:paraId="42DA4388">
      <w:pPr>
        <w:ind w:firstLine="560"/>
        <w:rPr>
          <w:rFonts w:ascii="Times New Roman" w:hAnsi="Times New Roman" w:eastAsia="仿宋"/>
          <w:color w:val="auto"/>
        </w:rPr>
      </w:pPr>
      <w:r>
        <w:rPr>
          <w:rFonts w:ascii="Times New Roman" w:hAnsi="Times New Roman" w:eastAsia="仿宋"/>
          <w:color w:val="auto"/>
        </w:rPr>
        <w:t>有下列情形之一的，视为</w:t>
      </w:r>
      <w:r>
        <w:rPr>
          <w:rFonts w:hint="eastAsia" w:ascii="Times New Roman" w:hAnsi="Times New Roman" w:eastAsia="仿宋"/>
          <w:color w:val="auto"/>
        </w:rPr>
        <w:t>参选人</w:t>
      </w:r>
      <w:r>
        <w:rPr>
          <w:rFonts w:ascii="Times New Roman" w:hAnsi="Times New Roman" w:eastAsia="仿宋"/>
          <w:color w:val="auto"/>
        </w:rPr>
        <w:t>相互串通比选。</w:t>
      </w:r>
    </w:p>
    <w:p w14:paraId="4A5D9FA8">
      <w:pPr>
        <w:ind w:firstLine="560"/>
        <w:rPr>
          <w:rFonts w:ascii="Times New Roman" w:hAnsi="Times New Roman" w:eastAsia="仿宋"/>
          <w:color w:val="auto"/>
        </w:rPr>
      </w:pPr>
      <w:r>
        <w:rPr>
          <w:rFonts w:ascii="Times New Roman" w:hAnsi="Times New Roman" w:eastAsia="仿宋"/>
          <w:color w:val="auto"/>
        </w:rPr>
        <w:t>（一）不同</w:t>
      </w:r>
      <w:r>
        <w:rPr>
          <w:rFonts w:hint="eastAsia" w:ascii="Times New Roman" w:hAnsi="Times New Roman" w:eastAsia="仿宋"/>
          <w:color w:val="auto"/>
        </w:rPr>
        <w:t>参选人</w:t>
      </w:r>
      <w:r>
        <w:rPr>
          <w:rFonts w:ascii="Times New Roman" w:hAnsi="Times New Roman" w:eastAsia="仿宋"/>
          <w:color w:val="auto"/>
        </w:rPr>
        <w:t>编制的参选文件存在两处以上错漏一致的；</w:t>
      </w:r>
    </w:p>
    <w:p w14:paraId="04C2D56A">
      <w:pPr>
        <w:ind w:firstLine="560"/>
        <w:rPr>
          <w:rFonts w:ascii="Times New Roman" w:hAnsi="Times New Roman" w:eastAsia="仿宋"/>
          <w:color w:val="auto"/>
        </w:rPr>
      </w:pPr>
      <w:r>
        <w:rPr>
          <w:rFonts w:ascii="Times New Roman" w:hAnsi="Times New Roman" w:eastAsia="仿宋"/>
          <w:color w:val="auto"/>
        </w:rPr>
        <w:t>（二）不同</w:t>
      </w:r>
      <w:r>
        <w:rPr>
          <w:rFonts w:hint="eastAsia" w:ascii="Times New Roman" w:hAnsi="Times New Roman" w:eastAsia="仿宋"/>
          <w:color w:val="auto"/>
        </w:rPr>
        <w:t>参选人</w:t>
      </w:r>
      <w:r>
        <w:rPr>
          <w:rFonts w:ascii="Times New Roman" w:hAnsi="Times New Roman" w:eastAsia="仿宋"/>
          <w:color w:val="auto"/>
        </w:rPr>
        <w:t>的参选文件相互混装的；</w:t>
      </w:r>
    </w:p>
    <w:p w14:paraId="4181EDC5">
      <w:pPr>
        <w:ind w:firstLine="560"/>
        <w:rPr>
          <w:rFonts w:ascii="Times New Roman" w:hAnsi="Times New Roman" w:eastAsia="仿宋"/>
          <w:color w:val="auto"/>
        </w:rPr>
      </w:pPr>
      <w:r>
        <w:rPr>
          <w:rFonts w:ascii="Times New Roman" w:hAnsi="Times New Roman" w:eastAsia="仿宋"/>
          <w:color w:val="auto"/>
        </w:rPr>
        <w:t>（三）参加比选活动的人员为同一采购其他</w:t>
      </w:r>
      <w:r>
        <w:rPr>
          <w:rFonts w:hint="eastAsia" w:ascii="Times New Roman" w:hAnsi="Times New Roman" w:eastAsia="仿宋"/>
          <w:color w:val="auto"/>
        </w:rPr>
        <w:t>参选人</w:t>
      </w:r>
      <w:r>
        <w:rPr>
          <w:rFonts w:ascii="Times New Roman" w:hAnsi="Times New Roman" w:eastAsia="仿宋"/>
          <w:color w:val="auto"/>
        </w:rPr>
        <w:t>在职人员的</w:t>
      </w:r>
      <w:r>
        <w:rPr>
          <w:rFonts w:hint="eastAsia" w:ascii="Times New Roman" w:hAnsi="Times New Roman" w:eastAsia="仿宋"/>
          <w:color w:val="auto"/>
        </w:rPr>
        <w:t>；</w:t>
      </w:r>
    </w:p>
    <w:p w14:paraId="308B6321">
      <w:pPr>
        <w:ind w:firstLine="560"/>
        <w:rPr>
          <w:rFonts w:ascii="Times New Roman" w:hAnsi="Times New Roman" w:eastAsia="仿宋"/>
          <w:color w:val="auto"/>
        </w:rPr>
      </w:pPr>
      <w:r>
        <w:rPr>
          <w:rFonts w:ascii="Times New Roman" w:hAnsi="Times New Roman" w:eastAsia="仿宋"/>
          <w:color w:val="auto"/>
        </w:rPr>
        <w:t>（四）不同</w:t>
      </w:r>
      <w:r>
        <w:rPr>
          <w:rFonts w:hint="eastAsia" w:ascii="Times New Roman" w:hAnsi="Times New Roman" w:eastAsia="仿宋"/>
          <w:color w:val="auto"/>
        </w:rPr>
        <w:t>参选人</w:t>
      </w:r>
      <w:r>
        <w:rPr>
          <w:rFonts w:ascii="Times New Roman" w:hAnsi="Times New Roman" w:eastAsia="仿宋"/>
          <w:color w:val="auto"/>
        </w:rPr>
        <w:t>委托同一人办理比选事宜的或不同</w:t>
      </w:r>
      <w:r>
        <w:rPr>
          <w:rFonts w:hint="eastAsia" w:ascii="Times New Roman" w:hAnsi="Times New Roman" w:eastAsia="仿宋"/>
          <w:color w:val="auto"/>
        </w:rPr>
        <w:t>参选人</w:t>
      </w:r>
      <w:r>
        <w:rPr>
          <w:rFonts w:ascii="Times New Roman" w:hAnsi="Times New Roman" w:eastAsia="仿宋"/>
          <w:color w:val="auto"/>
        </w:rPr>
        <w:t>与同一</w:t>
      </w:r>
      <w:r>
        <w:rPr>
          <w:rFonts w:hint="eastAsia" w:ascii="Times New Roman" w:hAnsi="Times New Roman" w:eastAsia="仿宋"/>
          <w:color w:val="auto"/>
        </w:rPr>
        <w:t>参选人</w:t>
      </w:r>
      <w:r>
        <w:rPr>
          <w:rFonts w:ascii="Times New Roman" w:hAnsi="Times New Roman" w:eastAsia="仿宋"/>
          <w:color w:val="auto"/>
        </w:rPr>
        <w:t>联合比选的；</w:t>
      </w:r>
    </w:p>
    <w:p w14:paraId="6E66A42E">
      <w:pPr>
        <w:ind w:firstLine="560"/>
        <w:rPr>
          <w:rFonts w:ascii="Times New Roman" w:hAnsi="Times New Roman" w:eastAsia="仿宋"/>
          <w:color w:val="auto"/>
        </w:rPr>
      </w:pPr>
      <w:r>
        <w:rPr>
          <w:rFonts w:ascii="Times New Roman" w:hAnsi="Times New Roman" w:eastAsia="仿宋"/>
          <w:color w:val="auto"/>
        </w:rPr>
        <w:t>（五）不同</w:t>
      </w:r>
      <w:r>
        <w:rPr>
          <w:rFonts w:hint="eastAsia" w:ascii="Times New Roman" w:hAnsi="Times New Roman" w:eastAsia="仿宋"/>
          <w:color w:val="auto"/>
        </w:rPr>
        <w:t>参选人</w:t>
      </w:r>
      <w:r>
        <w:rPr>
          <w:rFonts w:ascii="Times New Roman" w:hAnsi="Times New Roman" w:eastAsia="仿宋"/>
          <w:color w:val="auto"/>
        </w:rPr>
        <w:t>的参选文件载明的项目管理班子成员出现同一人的</w:t>
      </w:r>
      <w:r>
        <w:rPr>
          <w:rFonts w:hint="eastAsia" w:ascii="Times New Roman" w:hAnsi="Times New Roman" w:eastAsia="仿宋"/>
          <w:color w:val="auto"/>
        </w:rPr>
        <w:t>；</w:t>
      </w:r>
    </w:p>
    <w:p w14:paraId="72B56594">
      <w:pPr>
        <w:ind w:firstLine="560"/>
        <w:rPr>
          <w:rFonts w:ascii="Times New Roman" w:hAnsi="Times New Roman" w:eastAsia="仿宋"/>
          <w:color w:val="auto"/>
        </w:rPr>
      </w:pPr>
      <w:r>
        <w:rPr>
          <w:rFonts w:ascii="Times New Roman" w:hAnsi="Times New Roman" w:eastAsia="仿宋"/>
          <w:color w:val="auto"/>
        </w:rPr>
        <w:t>（六）法律法规、规章规定的其他视为相互串通比选的行为。</w:t>
      </w:r>
    </w:p>
    <w:p w14:paraId="3406DC1F">
      <w:pPr>
        <w:numPr>
          <w:ilvl w:val="255"/>
          <w:numId w:val="0"/>
        </w:numPr>
        <w:adjustRightInd w:val="0"/>
        <w:snapToGrid w:val="0"/>
        <w:ind w:firstLine="560"/>
        <w:jc w:val="left"/>
        <w:rPr>
          <w:rFonts w:ascii="Times New Roman" w:hAnsi="Times New Roman" w:eastAsia="方正黑体_GBK"/>
          <w:color w:val="000000"/>
          <w:szCs w:val="20"/>
        </w:rPr>
      </w:pPr>
      <w:r>
        <w:rPr>
          <w:rFonts w:hint="eastAsia" w:ascii="Times New Roman" w:hAnsi="Times New Roman" w:eastAsia="方正黑体_GBK"/>
          <w:color w:val="000000"/>
          <w:szCs w:val="20"/>
        </w:rPr>
        <w:t>五、采购终止</w:t>
      </w:r>
    </w:p>
    <w:p w14:paraId="063766C2">
      <w:pPr>
        <w:ind w:firstLine="560"/>
        <w:rPr>
          <w:rFonts w:ascii="Times New Roman" w:hAnsi="Times New Roman" w:eastAsia="仿宋"/>
          <w:color w:val="auto"/>
        </w:rPr>
      </w:pPr>
      <w:r>
        <w:rPr>
          <w:rFonts w:ascii="Times New Roman" w:hAnsi="Times New Roman" w:eastAsia="仿宋"/>
          <w:color w:val="auto"/>
        </w:rPr>
        <w:t>出现以下情况之一的，应予终止采购：</w:t>
      </w:r>
    </w:p>
    <w:p w14:paraId="166DDD9F">
      <w:pPr>
        <w:ind w:firstLine="560"/>
        <w:rPr>
          <w:rFonts w:ascii="Times New Roman" w:hAnsi="Times New Roman" w:eastAsia="仿宋"/>
          <w:color w:val="auto"/>
        </w:rPr>
      </w:pPr>
      <w:r>
        <w:rPr>
          <w:rFonts w:ascii="Times New Roman" w:hAnsi="Times New Roman" w:eastAsia="仿宋"/>
          <w:color w:val="auto"/>
        </w:rPr>
        <w:t>（一）</w:t>
      </w:r>
      <w:r>
        <w:rPr>
          <w:rFonts w:hint="eastAsia" w:ascii="Times New Roman" w:hAnsi="Times New Roman" w:eastAsia="仿宋"/>
          <w:color w:val="auto"/>
        </w:rPr>
        <w:t>参选人</w:t>
      </w:r>
      <w:r>
        <w:rPr>
          <w:rFonts w:ascii="Times New Roman" w:hAnsi="Times New Roman" w:eastAsia="仿宋"/>
          <w:color w:val="auto"/>
        </w:rPr>
        <w:t>的报价均超过了最高限价，采购人不能支付的；</w:t>
      </w:r>
    </w:p>
    <w:p w14:paraId="0FDBD8A2">
      <w:pPr>
        <w:ind w:firstLine="560"/>
        <w:rPr>
          <w:rFonts w:ascii="Times New Roman" w:hAnsi="Times New Roman" w:eastAsia="仿宋"/>
          <w:color w:val="auto"/>
        </w:rPr>
      </w:pPr>
      <w:r>
        <w:rPr>
          <w:rFonts w:ascii="Times New Roman" w:hAnsi="Times New Roman" w:eastAsia="仿宋"/>
          <w:color w:val="auto"/>
        </w:rPr>
        <w:t>（二）出现影响采购公正的违法、违规行为的；</w:t>
      </w:r>
    </w:p>
    <w:p w14:paraId="0012775A">
      <w:pPr>
        <w:ind w:firstLine="560"/>
        <w:rPr>
          <w:rFonts w:ascii="Times New Roman" w:hAnsi="Times New Roman" w:eastAsia="仿宋"/>
          <w:color w:val="auto"/>
        </w:rPr>
      </w:pPr>
      <w:r>
        <w:rPr>
          <w:rFonts w:ascii="Times New Roman" w:hAnsi="Times New Roman" w:eastAsia="仿宋"/>
          <w:color w:val="auto"/>
        </w:rPr>
        <w:t>（三）因重大变故，采购任务取消的。</w:t>
      </w:r>
    </w:p>
    <w:p w14:paraId="5F796985">
      <w:pPr>
        <w:snapToGrid w:val="0"/>
        <w:ind w:firstLine="560"/>
        <w:rPr>
          <w:rFonts w:ascii="Times New Roman" w:hAnsi="Times New Roman" w:eastAsia="仿宋"/>
          <w:color w:val="auto"/>
        </w:rPr>
      </w:pPr>
      <w:r>
        <w:rPr>
          <w:rFonts w:ascii="Times New Roman" w:hAnsi="Times New Roman" w:eastAsia="仿宋"/>
          <w:color w:val="auto"/>
        </w:rPr>
        <w:t>终止后，除采购任务取消情形外，应当重新组织采购。</w:t>
      </w:r>
    </w:p>
    <w:bookmarkEnd w:id="102"/>
    <w:bookmarkEnd w:id="103"/>
    <w:bookmarkEnd w:id="104"/>
    <w:bookmarkEnd w:id="105"/>
    <w:bookmarkEnd w:id="106"/>
    <w:p w14:paraId="4FD20B81">
      <w:pPr>
        <w:pStyle w:val="14"/>
        <w:ind w:firstLine="0" w:firstLineChars="0"/>
      </w:pPr>
      <w:bookmarkStart w:id="107" w:name="_Toc105081913"/>
      <w:bookmarkStart w:id="108" w:name="_Toc22128"/>
      <w:bookmarkStart w:id="109" w:name="_Toc10867"/>
      <w:bookmarkStart w:id="110" w:name="_Toc16428"/>
      <w:bookmarkStart w:id="111" w:name="_Toc24434"/>
      <w:bookmarkStart w:id="112" w:name="_Toc19626"/>
      <w:bookmarkStart w:id="113" w:name="_Toc194572019"/>
      <w:bookmarkStart w:id="114" w:name="_Toc20304"/>
    </w:p>
    <w:bookmarkEnd w:id="107"/>
    <w:bookmarkEnd w:id="108"/>
    <w:bookmarkEnd w:id="109"/>
    <w:bookmarkEnd w:id="110"/>
    <w:bookmarkEnd w:id="111"/>
    <w:bookmarkEnd w:id="112"/>
    <w:bookmarkEnd w:id="113"/>
    <w:p w14:paraId="48102277">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bookmarkStart w:id="115" w:name="_Toc27938"/>
      <w:bookmarkStart w:id="116" w:name="_Toc21476"/>
      <w:bookmarkStart w:id="117" w:name="_Toc25452"/>
      <w:bookmarkStart w:id="118" w:name="_Toc194572020"/>
      <w:bookmarkStart w:id="119" w:name="_Toc538"/>
      <w:bookmarkStart w:id="120" w:name="_Toc1803"/>
      <w:bookmarkStart w:id="121" w:name="_Toc105081927"/>
      <w:bookmarkStart w:id="122" w:name="_Hlk218675828"/>
      <w:r>
        <w:rPr>
          <w:rFonts w:ascii="Times New Roman" w:hAnsi="Times New Roman" w:eastAsia="方正小标宋_GBK" w:cs="Times New Roman"/>
          <w:b/>
          <w:bCs/>
          <w:color w:val="auto"/>
          <w:kern w:val="44"/>
          <w:sz w:val="32"/>
          <w:szCs w:val="44"/>
        </w:rPr>
        <w:t>第五篇  比选须知</w:t>
      </w:r>
    </w:p>
    <w:p w14:paraId="2E06F776">
      <w:pPr>
        <w:pStyle w:val="3"/>
        <w:adjustRightInd w:val="0"/>
        <w:snapToGrid w:val="0"/>
        <w:spacing w:before="0" w:after="0"/>
        <w:ind w:firstLine="560"/>
        <w:jc w:val="left"/>
        <w:rPr>
          <w:rFonts w:ascii="Times New Roman" w:hAnsi="Times New Roman" w:eastAsia="方正黑体_GBK" w:cs="Times New Roman"/>
          <w:color w:val="auto"/>
          <w:sz w:val="28"/>
          <w:szCs w:val="20"/>
        </w:rPr>
      </w:pPr>
      <w:bookmarkStart w:id="123" w:name="_Toc10325"/>
      <w:bookmarkStart w:id="124" w:name="_Toc422"/>
      <w:bookmarkStart w:id="125" w:name="_Toc10657"/>
      <w:bookmarkStart w:id="126" w:name="_Toc11996"/>
      <w:bookmarkStart w:id="127" w:name="_Toc3330"/>
      <w:bookmarkStart w:id="128" w:name="_Toc2439"/>
      <w:bookmarkStart w:id="129" w:name="_Toc18929"/>
      <w:bookmarkStart w:id="130" w:name="_Toc1327"/>
      <w:bookmarkStart w:id="131" w:name="_Toc28258"/>
      <w:bookmarkStart w:id="132" w:name="_Toc20020"/>
      <w:bookmarkStart w:id="133" w:name="_Toc75793524"/>
      <w:bookmarkStart w:id="134" w:name="_Toc12955"/>
      <w:bookmarkStart w:id="135" w:name="_Toc13197"/>
      <w:bookmarkStart w:id="136" w:name="_Toc3327"/>
      <w:bookmarkStart w:id="137" w:name="_Toc27405"/>
      <w:bookmarkStart w:id="138" w:name="_Toc15432"/>
      <w:r>
        <w:rPr>
          <w:rFonts w:ascii="Times New Roman" w:hAnsi="Times New Roman" w:eastAsia="方正黑体_GBK" w:cs="Times New Roman"/>
          <w:color w:val="auto"/>
          <w:sz w:val="28"/>
          <w:szCs w:val="20"/>
        </w:rPr>
        <w:t>一、</w:t>
      </w:r>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r>
        <w:rPr>
          <w:rFonts w:hint="eastAsia" w:ascii="Times New Roman" w:hAnsi="Times New Roman" w:eastAsia="方正黑体_GBK" w:cs="Times New Roman"/>
          <w:color w:val="auto"/>
          <w:sz w:val="28"/>
          <w:szCs w:val="20"/>
        </w:rPr>
        <w:t>参选人</w:t>
      </w:r>
    </w:p>
    <w:p w14:paraId="5C50479A">
      <w:pPr>
        <w:adjustRightInd w:val="0"/>
        <w:snapToGrid w:val="0"/>
        <w:ind w:firstLine="560"/>
        <w:rPr>
          <w:color w:val="000000"/>
          <w:szCs w:val="28"/>
        </w:rPr>
      </w:pPr>
      <w:r>
        <w:rPr>
          <w:rFonts w:hint="eastAsia"/>
          <w:color w:val="000000"/>
          <w:szCs w:val="28"/>
        </w:rPr>
        <w:t>（一）参选人</w:t>
      </w:r>
    </w:p>
    <w:p w14:paraId="0ED7C1B4">
      <w:pPr>
        <w:adjustRightInd w:val="0"/>
        <w:snapToGrid w:val="0"/>
        <w:ind w:firstLine="560"/>
        <w:rPr>
          <w:color w:val="000000"/>
          <w:spacing w:val="-6"/>
          <w:szCs w:val="28"/>
        </w:rPr>
      </w:pPr>
      <w:r>
        <w:rPr>
          <w:rFonts w:hint="eastAsia"/>
          <w:color w:val="000000"/>
          <w:szCs w:val="28"/>
        </w:rPr>
        <w:t>参选人</w:t>
      </w:r>
      <w:r>
        <w:rPr>
          <w:rFonts w:hint="eastAsia"/>
          <w:color w:val="000000"/>
          <w:spacing w:val="-6"/>
          <w:szCs w:val="28"/>
        </w:rPr>
        <w:t>是指响应比选、参加竞争性比选的法人、其他组织或者自然人。</w:t>
      </w:r>
    </w:p>
    <w:p w14:paraId="062ED94E">
      <w:pPr>
        <w:adjustRightInd w:val="0"/>
        <w:snapToGrid w:val="0"/>
        <w:ind w:firstLine="560"/>
        <w:rPr>
          <w:color w:val="000000"/>
          <w:szCs w:val="28"/>
        </w:rPr>
      </w:pPr>
      <w:r>
        <w:rPr>
          <w:rFonts w:hint="eastAsia"/>
          <w:color w:val="000000"/>
          <w:szCs w:val="28"/>
        </w:rPr>
        <w:t>（二）合格参选人条件</w:t>
      </w:r>
    </w:p>
    <w:p w14:paraId="4E5340AE">
      <w:pPr>
        <w:adjustRightInd w:val="0"/>
        <w:snapToGrid w:val="0"/>
        <w:ind w:firstLine="560"/>
        <w:rPr>
          <w:color w:val="000000"/>
          <w:szCs w:val="28"/>
        </w:rPr>
      </w:pPr>
      <w:r>
        <w:rPr>
          <w:rFonts w:hint="eastAsia"/>
          <w:color w:val="000000"/>
          <w:szCs w:val="28"/>
        </w:rPr>
        <w:t>合格参选人应完全符合比选文件第一篇中规定的参选人资格条件，并对比选文件作出实质性响应。</w:t>
      </w:r>
    </w:p>
    <w:p w14:paraId="6AE527A7">
      <w:pPr>
        <w:adjustRightInd w:val="0"/>
        <w:snapToGrid w:val="0"/>
        <w:ind w:firstLine="560"/>
        <w:rPr>
          <w:color w:val="000000"/>
          <w:szCs w:val="28"/>
        </w:rPr>
      </w:pPr>
      <w:r>
        <w:rPr>
          <w:rFonts w:hint="eastAsia"/>
          <w:color w:val="000000"/>
          <w:szCs w:val="28"/>
        </w:rPr>
        <w:t>（三）参选的风险</w:t>
      </w:r>
    </w:p>
    <w:p w14:paraId="742F26B4">
      <w:pPr>
        <w:adjustRightInd w:val="0"/>
        <w:snapToGrid w:val="0"/>
        <w:ind w:firstLine="560"/>
        <w:rPr>
          <w:color w:val="000000"/>
          <w:szCs w:val="28"/>
        </w:rPr>
      </w:pPr>
      <w:r>
        <w:rPr>
          <w:rFonts w:hint="eastAsia"/>
          <w:color w:val="000000"/>
          <w:szCs w:val="28"/>
        </w:rPr>
        <w:t>参选人没有按照比选文件要求提供全部资料，或者参选人没有对比选文件在各方面作出实质性响应，可能导致参选被拒绝或评定为无效参选。</w:t>
      </w:r>
    </w:p>
    <w:p w14:paraId="4FECBD1A">
      <w:pPr>
        <w:adjustRightInd w:val="0"/>
        <w:snapToGrid w:val="0"/>
        <w:ind w:firstLine="560"/>
        <w:rPr>
          <w:color w:val="000000"/>
          <w:szCs w:val="28"/>
        </w:rPr>
      </w:pPr>
      <w:r>
        <w:rPr>
          <w:rFonts w:hint="eastAsia"/>
          <w:color w:val="000000"/>
          <w:szCs w:val="28"/>
        </w:rPr>
        <w:t>（四）法律责任</w:t>
      </w:r>
    </w:p>
    <w:p w14:paraId="481F7612">
      <w:pPr>
        <w:adjustRightInd w:val="0"/>
        <w:snapToGrid w:val="0"/>
        <w:ind w:firstLine="560"/>
        <w:rPr>
          <w:color w:val="000000"/>
          <w:szCs w:val="28"/>
        </w:rPr>
      </w:pPr>
      <w:bookmarkStart w:id="139" w:name="_Hlk225260581"/>
      <w:r>
        <w:rPr>
          <w:rFonts w:hint="eastAsia"/>
          <w:color w:val="000000"/>
          <w:szCs w:val="28"/>
        </w:rPr>
        <w:t>参选人违反国家相关招标采购法律法规的规定，将按规定追究参选人法律责任。</w:t>
      </w:r>
    </w:p>
    <w:bookmarkEnd w:id="139"/>
    <w:p w14:paraId="7A017264">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二、比选文件</w:t>
      </w:r>
    </w:p>
    <w:p w14:paraId="248E6F13">
      <w:pPr>
        <w:ind w:firstLine="560"/>
        <w:rPr>
          <w:rFonts w:ascii="Times New Roman" w:hAnsi="Times New Roman" w:eastAsia="仿宋"/>
          <w:color w:val="auto"/>
        </w:rPr>
      </w:pPr>
      <w:r>
        <w:rPr>
          <w:rFonts w:ascii="Times New Roman" w:hAnsi="Times New Roman" w:eastAsia="仿宋"/>
          <w:color w:val="auto"/>
        </w:rPr>
        <w:t>比选文件是</w:t>
      </w:r>
      <w:r>
        <w:rPr>
          <w:rFonts w:hint="eastAsia" w:ascii="Times New Roman" w:hAnsi="Times New Roman" w:eastAsia="仿宋"/>
          <w:color w:val="auto"/>
        </w:rPr>
        <w:t>参选人</w:t>
      </w:r>
      <w:r>
        <w:rPr>
          <w:rFonts w:ascii="Times New Roman" w:hAnsi="Times New Roman" w:eastAsia="仿宋"/>
          <w:color w:val="auto"/>
        </w:rPr>
        <w:t>编制参选文件的依据，是</w:t>
      </w:r>
      <w:r>
        <w:rPr>
          <w:rFonts w:hint="eastAsia" w:ascii="Times New Roman" w:hAnsi="Times New Roman" w:eastAsia="仿宋"/>
          <w:color w:val="auto"/>
        </w:rPr>
        <w:t>比选小组</w:t>
      </w:r>
      <w:r>
        <w:rPr>
          <w:rFonts w:ascii="Times New Roman" w:hAnsi="Times New Roman" w:eastAsia="仿宋"/>
          <w:color w:val="auto"/>
        </w:rPr>
        <w:t>评判依据和标准。比选文件也是采购人与中选</w:t>
      </w:r>
      <w:r>
        <w:rPr>
          <w:rFonts w:hint="eastAsia" w:ascii="Times New Roman" w:hAnsi="Times New Roman" w:eastAsia="仿宋"/>
          <w:color w:val="auto"/>
        </w:rPr>
        <w:t>参选人</w:t>
      </w:r>
      <w:r>
        <w:rPr>
          <w:rFonts w:ascii="Times New Roman" w:hAnsi="Times New Roman" w:eastAsia="仿宋"/>
          <w:color w:val="auto"/>
        </w:rPr>
        <w:t>签订合同的基础。</w:t>
      </w:r>
    </w:p>
    <w:p w14:paraId="0747F26A">
      <w:pPr>
        <w:ind w:firstLine="560"/>
        <w:rPr>
          <w:rFonts w:ascii="Times New Roman" w:hAnsi="Times New Roman" w:eastAsia="仿宋"/>
          <w:color w:val="auto"/>
        </w:rPr>
      </w:pPr>
      <w:r>
        <w:rPr>
          <w:rFonts w:ascii="Times New Roman" w:hAnsi="Times New Roman" w:eastAsia="仿宋"/>
          <w:color w:val="auto"/>
        </w:rPr>
        <w:t>（一）比选文件由比选邀请书、项目服务需求、项目商务要求、</w:t>
      </w:r>
      <w:r>
        <w:rPr>
          <w:rFonts w:hint="eastAsia" w:ascii="Times New Roman" w:hAnsi="Times New Roman" w:eastAsia="仿宋"/>
          <w:color w:val="auto"/>
        </w:rPr>
        <w:t>参选人</w:t>
      </w:r>
      <w:r>
        <w:rPr>
          <w:rFonts w:ascii="Times New Roman" w:hAnsi="Times New Roman" w:eastAsia="仿宋"/>
          <w:color w:val="auto"/>
        </w:rPr>
        <w:t>须知、资格审查及评</w:t>
      </w:r>
      <w:r>
        <w:rPr>
          <w:rFonts w:hint="eastAsia" w:ascii="Times New Roman" w:hAnsi="Times New Roman" w:eastAsia="仿宋"/>
          <w:color w:val="auto"/>
        </w:rPr>
        <w:t>选</w:t>
      </w:r>
      <w:r>
        <w:rPr>
          <w:rFonts w:ascii="Times New Roman" w:hAnsi="Times New Roman" w:eastAsia="仿宋"/>
          <w:color w:val="auto"/>
        </w:rPr>
        <w:t>办法、合同主要条款和格式合同、参选文件编制要求等七部分组成。</w:t>
      </w:r>
    </w:p>
    <w:p w14:paraId="6E2B7D0F">
      <w:pPr>
        <w:ind w:firstLine="560"/>
        <w:rPr>
          <w:rFonts w:ascii="Times New Roman" w:hAnsi="Times New Roman" w:eastAsia="仿宋"/>
          <w:color w:val="auto"/>
        </w:rPr>
      </w:pPr>
      <w:r>
        <w:rPr>
          <w:rFonts w:ascii="Times New Roman" w:hAnsi="Times New Roman" w:eastAsia="仿宋"/>
          <w:color w:val="auto"/>
        </w:rPr>
        <w:t>（二）采购人对比选文件所作的一切有效的书面通知、修改及补充，都是比选文件不可分割的部分。</w:t>
      </w:r>
    </w:p>
    <w:p w14:paraId="15699D44">
      <w:pPr>
        <w:adjustRightInd w:val="0"/>
        <w:snapToGrid w:val="0"/>
        <w:ind w:firstLine="560"/>
        <w:rPr>
          <w:color w:val="000000"/>
          <w:szCs w:val="28"/>
        </w:rPr>
      </w:pPr>
      <w:r>
        <w:rPr>
          <w:rFonts w:hint="eastAsia"/>
          <w:color w:val="000000"/>
          <w:szCs w:val="28"/>
        </w:rPr>
        <w:t>（三）本项目的比选文件、澄清文件（如果有）一律通过</w:t>
      </w:r>
      <w:bookmarkStart w:id="140" w:name="_Hlk224737478"/>
      <w:r>
        <w:rPr>
          <w:rFonts w:hint="eastAsia"/>
          <w:color w:val="000000"/>
          <w:szCs w:val="28"/>
        </w:rPr>
        <w:t>重庆华龙网（http://www.cqnews.net）首页、阳光重庆（www.ygcq.com.cn）网站发布</w:t>
      </w:r>
      <w:bookmarkEnd w:id="140"/>
      <w:r>
        <w:rPr>
          <w:rFonts w:hint="eastAsia"/>
          <w:color w:val="000000"/>
          <w:szCs w:val="28"/>
        </w:rPr>
        <w:t>，各参选人注意下载；无论参选人下载与否，均视同参选人已知晓本项目比选文件、澄清文件的内容。</w:t>
      </w:r>
    </w:p>
    <w:p w14:paraId="0FC2F413">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）评审的依据为竞争性比选文件和参选文件（含有效的书面承诺）。</w:t>
      </w:r>
      <w:r>
        <w:rPr>
          <w:rFonts w:hint="eastAsia" w:ascii="Times New Roman" w:hAnsi="Times New Roman" w:eastAsia="仿宋"/>
          <w:color w:val="auto"/>
        </w:rPr>
        <w:t>比选小组</w:t>
      </w:r>
      <w:r>
        <w:rPr>
          <w:rFonts w:ascii="Times New Roman" w:hAnsi="Times New Roman" w:eastAsia="仿宋"/>
          <w:color w:val="auto"/>
        </w:rPr>
        <w:t>判断参选文件对竞争性比选文件的响应，仅基于参选文件本身而不靠外部证据。</w:t>
      </w:r>
    </w:p>
    <w:p w14:paraId="451A437C">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三、</w:t>
      </w:r>
      <w:r>
        <w:rPr>
          <w:rFonts w:hint="eastAsia" w:ascii="Times New Roman" w:hAnsi="Times New Roman" w:eastAsia="方正黑体_GBK" w:cs="Times New Roman"/>
          <w:color w:val="auto"/>
          <w:sz w:val="28"/>
          <w:szCs w:val="20"/>
        </w:rPr>
        <w:t>参选文件</w:t>
      </w:r>
    </w:p>
    <w:p w14:paraId="1B9BC9EF">
      <w:pPr>
        <w:ind w:firstLine="560"/>
        <w:rPr>
          <w:rFonts w:ascii="Times New Roman" w:hAnsi="Times New Roman" w:eastAsia="仿宋"/>
          <w:color w:val="auto"/>
          <w:szCs w:val="28"/>
        </w:rPr>
      </w:pPr>
      <w:r>
        <w:rPr>
          <w:rFonts w:hint="eastAsia" w:ascii="Times New Roman" w:hAnsi="Times New Roman" w:eastAsia="仿宋"/>
          <w:color w:val="auto"/>
          <w:szCs w:val="28"/>
        </w:rPr>
        <w:t>参选人</w:t>
      </w:r>
      <w:r>
        <w:rPr>
          <w:rFonts w:ascii="Times New Roman" w:hAnsi="Times New Roman" w:eastAsia="仿宋"/>
          <w:color w:val="auto"/>
          <w:szCs w:val="28"/>
        </w:rPr>
        <w:t>应当按照竞争性比选文件的要求编制参选文件，并对竞争性比选文件提出的要求和条件作出实质性响应，参选文件原则上采用软面订本，同时应编制完整的页码、目录。</w:t>
      </w:r>
    </w:p>
    <w:p w14:paraId="429EA027">
      <w:pPr>
        <w:ind w:firstLine="560"/>
        <w:rPr>
          <w:rFonts w:ascii="Times New Roman" w:hAnsi="Times New Roman" w:eastAsia="仿宋"/>
          <w:color w:val="auto"/>
        </w:rPr>
      </w:pPr>
      <w:r>
        <w:rPr>
          <w:rFonts w:hint="eastAsia" w:ascii="Times New Roman" w:hAnsi="Times New Roman" w:eastAsia="仿宋"/>
          <w:color w:val="auto"/>
        </w:rPr>
        <w:t>（一）</w:t>
      </w:r>
      <w:r>
        <w:rPr>
          <w:rFonts w:ascii="Times New Roman" w:hAnsi="Times New Roman" w:eastAsia="仿宋"/>
          <w:color w:val="auto"/>
        </w:rPr>
        <w:t>参选文件的组成</w:t>
      </w:r>
    </w:p>
    <w:p w14:paraId="5A72D933">
      <w:pPr>
        <w:ind w:firstLine="560"/>
        <w:rPr>
          <w:rFonts w:ascii="Times New Roman" w:hAnsi="Times New Roman" w:eastAsia="仿宋"/>
          <w:color w:val="auto"/>
          <w:szCs w:val="28"/>
        </w:rPr>
      </w:pPr>
      <w:r>
        <w:rPr>
          <w:rFonts w:ascii="Times New Roman" w:hAnsi="Times New Roman" w:eastAsia="仿宋"/>
          <w:color w:val="auto"/>
          <w:szCs w:val="28"/>
        </w:rPr>
        <w:t>参选文件由第七篇“参选文件编制要求”规定的部分和</w:t>
      </w:r>
      <w:r>
        <w:rPr>
          <w:rFonts w:hint="eastAsia" w:ascii="Times New Roman" w:hAnsi="Times New Roman" w:eastAsia="仿宋"/>
          <w:color w:val="auto"/>
          <w:szCs w:val="28"/>
        </w:rPr>
        <w:t>参选人</w:t>
      </w:r>
      <w:r>
        <w:rPr>
          <w:rFonts w:ascii="Times New Roman" w:hAnsi="Times New Roman" w:eastAsia="仿宋"/>
          <w:color w:val="auto"/>
          <w:szCs w:val="28"/>
        </w:rPr>
        <w:t>所作的一切有效补充、修改和承诺等文件组成，</w:t>
      </w:r>
      <w:r>
        <w:rPr>
          <w:rFonts w:hint="eastAsia" w:ascii="Times New Roman" w:hAnsi="Times New Roman" w:eastAsia="仿宋"/>
          <w:color w:val="auto"/>
          <w:szCs w:val="28"/>
        </w:rPr>
        <w:t>参选人</w:t>
      </w:r>
      <w:r>
        <w:rPr>
          <w:rFonts w:ascii="Times New Roman" w:hAnsi="Times New Roman" w:eastAsia="仿宋"/>
          <w:color w:val="auto"/>
          <w:szCs w:val="28"/>
        </w:rPr>
        <w:t>应按照第七篇“参选文件编制要求”规定的目录顺序组织编写和装订，否则有可能影响</w:t>
      </w:r>
      <w:r>
        <w:rPr>
          <w:rFonts w:hint="eastAsia" w:ascii="Times New Roman" w:hAnsi="Times New Roman" w:eastAsia="仿宋"/>
          <w:color w:val="auto"/>
          <w:szCs w:val="28"/>
        </w:rPr>
        <w:t>比选小组</w:t>
      </w:r>
      <w:r>
        <w:rPr>
          <w:rFonts w:ascii="Times New Roman" w:hAnsi="Times New Roman" w:eastAsia="仿宋"/>
          <w:color w:val="auto"/>
          <w:szCs w:val="28"/>
        </w:rPr>
        <w:t>对参选文件的评审。也可在基本格式基础上对表格进行扩展，未规定格式的由</w:t>
      </w:r>
      <w:r>
        <w:rPr>
          <w:rFonts w:hint="eastAsia" w:ascii="Times New Roman" w:hAnsi="Times New Roman" w:eastAsia="仿宋"/>
          <w:color w:val="auto"/>
          <w:szCs w:val="28"/>
        </w:rPr>
        <w:t>参选人</w:t>
      </w:r>
      <w:r>
        <w:rPr>
          <w:rFonts w:ascii="Times New Roman" w:hAnsi="Times New Roman" w:eastAsia="仿宋"/>
          <w:color w:val="auto"/>
          <w:szCs w:val="28"/>
        </w:rPr>
        <w:t>自定格式。</w:t>
      </w:r>
    </w:p>
    <w:p w14:paraId="03035BFD">
      <w:pPr>
        <w:adjustRightInd w:val="0"/>
        <w:snapToGrid w:val="0"/>
        <w:ind w:firstLine="560"/>
        <w:rPr>
          <w:color w:val="000000"/>
          <w:szCs w:val="28"/>
        </w:rPr>
      </w:pPr>
      <w:r>
        <w:rPr>
          <w:rFonts w:hint="eastAsia"/>
          <w:color w:val="000000"/>
          <w:szCs w:val="28"/>
        </w:rPr>
        <w:t>（二）联合投标</w:t>
      </w:r>
    </w:p>
    <w:p w14:paraId="32EC9FF3">
      <w:pPr>
        <w:adjustRightInd w:val="0"/>
        <w:snapToGrid w:val="0"/>
        <w:ind w:firstLine="560"/>
        <w:rPr>
          <w:color w:val="000000"/>
          <w:szCs w:val="28"/>
        </w:rPr>
      </w:pPr>
      <w:r>
        <w:rPr>
          <w:rFonts w:hint="eastAsia"/>
          <w:color w:val="000000"/>
          <w:szCs w:val="28"/>
        </w:rPr>
        <w:t>本项目不接受联合体投标。</w:t>
      </w:r>
    </w:p>
    <w:p w14:paraId="3AC0F91C">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三</w:t>
      </w:r>
      <w:r>
        <w:rPr>
          <w:rFonts w:ascii="Times New Roman" w:hAnsi="Times New Roman" w:eastAsia="仿宋"/>
          <w:color w:val="auto"/>
        </w:rPr>
        <w:t>）比选有效期</w:t>
      </w:r>
    </w:p>
    <w:p w14:paraId="18216AC3">
      <w:pPr>
        <w:ind w:firstLine="560"/>
        <w:rPr>
          <w:rFonts w:ascii="Times New Roman" w:hAnsi="Times New Roman" w:eastAsia="仿宋"/>
          <w:color w:val="auto"/>
        </w:rPr>
      </w:pPr>
      <w:r>
        <w:rPr>
          <w:rFonts w:ascii="Times New Roman" w:hAnsi="Times New Roman" w:eastAsia="仿宋"/>
          <w:color w:val="auto"/>
        </w:rPr>
        <w:t>参选文件及有关承诺文件有效期为提交参选文件截止时间起90天。</w:t>
      </w:r>
    </w:p>
    <w:p w14:paraId="5509682C">
      <w:pPr>
        <w:pStyle w:val="14"/>
        <w:ind w:firstLine="480"/>
      </w:pPr>
    </w:p>
    <w:p w14:paraId="64EE35B3">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）参选文件的份数和签署</w:t>
      </w:r>
    </w:p>
    <w:p w14:paraId="218F0C70">
      <w:pPr>
        <w:ind w:firstLine="560"/>
        <w:rPr>
          <w:rFonts w:ascii="Times New Roman" w:hAnsi="Times New Roman" w:eastAsia="仿宋"/>
          <w:color w:val="auto"/>
        </w:rPr>
      </w:pPr>
      <w:r>
        <w:rPr>
          <w:rFonts w:ascii="Times New Roman" w:hAnsi="Times New Roman" w:eastAsia="仿宋"/>
          <w:color w:val="auto"/>
        </w:rPr>
        <w:t>1</w:t>
      </w:r>
      <w:r>
        <w:rPr>
          <w:rFonts w:hint="eastAsia" w:ascii="Times New Roman" w:hAnsi="Times New Roman" w:eastAsia="仿宋"/>
          <w:color w:val="auto"/>
        </w:rPr>
        <w:t>.</w:t>
      </w:r>
      <w:r>
        <w:rPr>
          <w:rFonts w:ascii="Times New Roman" w:hAnsi="Times New Roman" w:eastAsia="仿宋"/>
          <w:color w:val="auto"/>
        </w:rPr>
        <w:t>参选文件份数。正本1份，副本</w:t>
      </w:r>
      <w:r>
        <w:rPr>
          <w:rFonts w:hint="eastAsia" w:ascii="Times New Roman" w:hAnsi="Times New Roman" w:eastAsia="仿宋"/>
          <w:color w:val="auto"/>
        </w:rPr>
        <w:t>1</w:t>
      </w:r>
      <w:r>
        <w:rPr>
          <w:rFonts w:ascii="Times New Roman" w:hAnsi="Times New Roman" w:eastAsia="仿宋"/>
          <w:color w:val="auto"/>
        </w:rPr>
        <w:t>份</w:t>
      </w:r>
      <w:r>
        <w:rPr>
          <w:rFonts w:hint="eastAsia" w:ascii="Times New Roman" w:hAnsi="Times New Roman" w:eastAsia="仿宋"/>
          <w:color w:val="auto"/>
        </w:rPr>
        <w:t>副本应为正本的完整复印件，副本与正本不一致时以正本为准</w:t>
      </w:r>
      <w:r>
        <w:rPr>
          <w:rFonts w:ascii="Times New Roman" w:hAnsi="Times New Roman" w:eastAsia="仿宋"/>
          <w:color w:val="auto"/>
        </w:rPr>
        <w:t>，并在各参选文件封面上标注“正本”或“副本”字样</w:t>
      </w:r>
      <w:r>
        <w:rPr>
          <w:rFonts w:hint="eastAsia" w:ascii="Times New Roman" w:hAnsi="Times New Roman" w:eastAsia="仿宋"/>
          <w:color w:val="auto"/>
        </w:rPr>
        <w:t>；</w:t>
      </w:r>
    </w:p>
    <w:p w14:paraId="07DCFA8F">
      <w:pPr>
        <w:ind w:firstLine="560"/>
        <w:rPr>
          <w:rFonts w:ascii="Times New Roman" w:hAnsi="Times New Roman" w:eastAsia="仿宋"/>
          <w:color w:val="auto"/>
        </w:rPr>
      </w:pPr>
      <w:r>
        <w:rPr>
          <w:rFonts w:ascii="Times New Roman" w:hAnsi="Times New Roman" w:eastAsia="仿宋"/>
          <w:color w:val="auto"/>
        </w:rPr>
        <w:t>2</w:t>
      </w:r>
      <w:r>
        <w:rPr>
          <w:rFonts w:hint="eastAsia" w:ascii="Times New Roman" w:hAnsi="Times New Roman" w:eastAsia="仿宋"/>
          <w:color w:val="auto"/>
        </w:rPr>
        <w:t>.</w:t>
      </w:r>
      <w:r>
        <w:rPr>
          <w:rFonts w:ascii="Times New Roman" w:hAnsi="Times New Roman" w:eastAsia="仿宋"/>
          <w:color w:val="auto"/>
        </w:rPr>
        <w:t>在参选文件正本中，比选文件第七篇“参选文件编制要求”中规定签字、盖章的地方必须按其规定签字、盖章；</w:t>
      </w:r>
    </w:p>
    <w:p w14:paraId="4384F992">
      <w:pPr>
        <w:ind w:firstLine="560"/>
        <w:rPr>
          <w:rFonts w:ascii="Times New Roman" w:hAnsi="Times New Roman" w:eastAsia="仿宋"/>
          <w:color w:val="auto"/>
        </w:rPr>
      </w:pPr>
      <w:r>
        <w:rPr>
          <w:rFonts w:ascii="Times New Roman" w:hAnsi="Times New Roman" w:eastAsia="仿宋"/>
          <w:color w:val="auto"/>
        </w:rPr>
        <w:t>3</w:t>
      </w:r>
      <w:r>
        <w:rPr>
          <w:rFonts w:hint="eastAsia" w:ascii="Times New Roman" w:hAnsi="Times New Roman" w:eastAsia="仿宋"/>
          <w:color w:val="auto"/>
        </w:rPr>
        <w:t>.</w:t>
      </w:r>
      <w:r>
        <w:rPr>
          <w:rFonts w:ascii="Times New Roman" w:hAnsi="Times New Roman" w:eastAsia="仿宋"/>
          <w:color w:val="auto"/>
        </w:rPr>
        <w:t>若</w:t>
      </w:r>
      <w:r>
        <w:rPr>
          <w:rFonts w:hint="eastAsia" w:ascii="Times New Roman" w:hAnsi="Times New Roman" w:eastAsia="仿宋"/>
          <w:color w:val="auto"/>
        </w:rPr>
        <w:t>参选人</w:t>
      </w:r>
      <w:r>
        <w:rPr>
          <w:rFonts w:ascii="Times New Roman" w:hAnsi="Times New Roman" w:eastAsia="仿宋"/>
          <w:color w:val="auto"/>
        </w:rPr>
        <w:t>对参选文件的错处做必要修改，则应在修改处加盖</w:t>
      </w:r>
      <w:r>
        <w:rPr>
          <w:rFonts w:hint="eastAsia" w:ascii="Times New Roman" w:hAnsi="Times New Roman" w:eastAsia="仿宋"/>
          <w:color w:val="auto"/>
        </w:rPr>
        <w:t>参选人</w:t>
      </w:r>
      <w:r>
        <w:rPr>
          <w:rFonts w:ascii="Times New Roman" w:hAnsi="Times New Roman" w:eastAsia="仿宋"/>
          <w:color w:val="auto"/>
        </w:rPr>
        <w:t>公章或</w:t>
      </w:r>
      <w:r>
        <w:rPr>
          <w:rFonts w:hint="eastAsia" w:ascii="Times New Roman" w:hAnsi="Times New Roman" w:eastAsia="仿宋"/>
          <w:color w:val="auto"/>
        </w:rPr>
        <w:t>由法定代表人（或其授权代表）或自然人（参选人为自然人）签署确认</w:t>
      </w:r>
      <w:r>
        <w:rPr>
          <w:rFonts w:ascii="Times New Roman" w:hAnsi="Times New Roman" w:eastAsia="仿宋"/>
          <w:color w:val="auto"/>
        </w:rPr>
        <w:t>；</w:t>
      </w:r>
    </w:p>
    <w:p w14:paraId="5F6723AA">
      <w:pPr>
        <w:ind w:firstLine="560"/>
        <w:rPr>
          <w:rFonts w:ascii="Times New Roman" w:hAnsi="Times New Roman" w:eastAsia="仿宋"/>
          <w:color w:val="auto"/>
        </w:rPr>
      </w:pPr>
      <w:r>
        <w:rPr>
          <w:rFonts w:hint="eastAsia" w:ascii="Times New Roman" w:hAnsi="Times New Roman" w:eastAsia="仿宋"/>
          <w:color w:val="auto"/>
        </w:rPr>
        <w:t>4.电报、电话、传真形式的参选文件概不接受</w:t>
      </w:r>
      <w:r>
        <w:rPr>
          <w:rFonts w:ascii="Times New Roman" w:hAnsi="Times New Roman" w:eastAsia="仿宋"/>
          <w:color w:val="auto"/>
        </w:rPr>
        <w:t>。</w:t>
      </w:r>
    </w:p>
    <w:p w14:paraId="12D0117E">
      <w:pPr>
        <w:ind w:firstLine="560"/>
        <w:rPr>
          <w:rFonts w:ascii="Times New Roman" w:hAnsi="Times New Roman" w:eastAsia="仿宋"/>
          <w:color w:val="auto"/>
        </w:rPr>
      </w:pPr>
      <w:r>
        <w:rPr>
          <w:rFonts w:hint="eastAsia" w:ascii="Times New Roman" w:hAnsi="Times New Roman" w:eastAsia="仿宋"/>
          <w:color w:val="auto"/>
        </w:rPr>
        <w:t>（五）比选报价</w:t>
      </w:r>
    </w:p>
    <w:p w14:paraId="533BD55B">
      <w:pPr>
        <w:ind w:firstLine="536"/>
        <w:rPr>
          <w:rFonts w:ascii="Times New Roman" w:hAnsi="Times New Roman" w:eastAsia="仿宋"/>
          <w:color w:val="auto"/>
          <w:spacing w:val="-6"/>
        </w:rPr>
      </w:pPr>
      <w:r>
        <w:rPr>
          <w:rFonts w:hint="eastAsia" w:ascii="Times New Roman" w:hAnsi="Times New Roman" w:eastAsia="仿宋"/>
          <w:color w:val="auto"/>
          <w:spacing w:val="-6"/>
        </w:rPr>
        <w:t>1.参选人应严格按照“参选文件格式”中“开标一览表”格式填写报价。</w:t>
      </w:r>
    </w:p>
    <w:p w14:paraId="3974E1F2">
      <w:pPr>
        <w:ind w:firstLine="560"/>
        <w:rPr>
          <w:rFonts w:ascii="Times New Roman" w:hAnsi="Times New Roman" w:eastAsia="仿宋"/>
          <w:color w:val="auto"/>
        </w:rPr>
      </w:pPr>
      <w:r>
        <w:rPr>
          <w:rFonts w:hint="eastAsia" w:ascii="Times New Roman" w:hAnsi="Times New Roman" w:eastAsia="仿宋"/>
          <w:color w:val="auto"/>
        </w:rPr>
        <w:t>2.参选人的报价为一次性报价，即在参选有效期内参选价格固定不变。</w:t>
      </w:r>
    </w:p>
    <w:p w14:paraId="540CCB3E">
      <w:pPr>
        <w:ind w:left="560" w:leftChars="200" w:firstLine="0" w:firstLineChars="0"/>
        <w:rPr>
          <w:rFonts w:ascii="Times New Roman" w:hAnsi="Times New Roman" w:eastAsia="仿宋"/>
          <w:color w:val="auto"/>
        </w:rPr>
      </w:pPr>
      <w:r>
        <w:rPr>
          <w:rFonts w:hint="eastAsia" w:ascii="Times New Roman" w:hAnsi="Times New Roman" w:eastAsia="仿宋"/>
          <w:color w:val="auto"/>
        </w:rPr>
        <w:t>3.本项目只接受一个比选报价，有选择的或有条件的报价将不予接受。</w:t>
      </w:r>
      <w:r>
        <w:rPr>
          <w:rFonts w:ascii="Times New Roman" w:hAnsi="Times New Roman" w:eastAsia="仿宋"/>
          <w:color w:val="auto"/>
        </w:rPr>
        <w:t>（</w:t>
      </w:r>
      <w:r>
        <w:rPr>
          <w:rFonts w:hint="eastAsia" w:ascii="Times New Roman" w:hAnsi="Times New Roman" w:eastAsia="仿宋"/>
          <w:color w:val="auto"/>
        </w:rPr>
        <w:t>六</w:t>
      </w:r>
      <w:r>
        <w:rPr>
          <w:rFonts w:ascii="Times New Roman" w:hAnsi="Times New Roman" w:eastAsia="仿宋"/>
          <w:color w:val="auto"/>
        </w:rPr>
        <w:t>）修正错误</w:t>
      </w:r>
    </w:p>
    <w:p w14:paraId="09DDEA8F">
      <w:pPr>
        <w:ind w:firstLine="560"/>
        <w:rPr>
          <w:rFonts w:ascii="Times New Roman" w:hAnsi="Times New Roman" w:eastAsia="仿宋"/>
          <w:color w:val="auto"/>
        </w:rPr>
      </w:pPr>
      <w:r>
        <w:rPr>
          <w:rFonts w:ascii="Times New Roman" w:hAnsi="Times New Roman" w:eastAsia="仿宋"/>
          <w:color w:val="auto"/>
        </w:rPr>
        <w:t>若参选文件出现计算或表达上的错误，修正错误的原则如下：</w:t>
      </w:r>
    </w:p>
    <w:p w14:paraId="217C2C0B">
      <w:pPr>
        <w:ind w:firstLine="560"/>
        <w:rPr>
          <w:rFonts w:ascii="Times New Roman" w:hAnsi="Times New Roman" w:eastAsia="仿宋"/>
          <w:color w:val="auto"/>
        </w:rPr>
      </w:pPr>
      <w:r>
        <w:rPr>
          <w:rFonts w:ascii="Times New Roman" w:hAnsi="Times New Roman" w:eastAsia="仿宋"/>
          <w:color w:val="auto"/>
        </w:rPr>
        <w:t>1.参选文件中报价一览表（报价表）内容与参选文件中相应内容不一致的，以报价一览表（报价表）为准；</w:t>
      </w:r>
    </w:p>
    <w:p w14:paraId="33B26F66">
      <w:pPr>
        <w:ind w:firstLine="560"/>
        <w:rPr>
          <w:rFonts w:ascii="Times New Roman" w:hAnsi="Times New Roman" w:eastAsia="仿宋"/>
          <w:color w:val="auto"/>
        </w:rPr>
      </w:pPr>
      <w:r>
        <w:rPr>
          <w:rFonts w:ascii="Times New Roman" w:hAnsi="Times New Roman" w:eastAsia="仿宋"/>
          <w:color w:val="auto"/>
        </w:rPr>
        <w:t>2.大写金额和小写金额不一致的，以大写金额为准；</w:t>
      </w:r>
    </w:p>
    <w:p w14:paraId="5F6867E1">
      <w:pPr>
        <w:ind w:firstLine="560"/>
        <w:rPr>
          <w:rFonts w:ascii="Times New Roman" w:hAnsi="Times New Roman" w:eastAsia="仿宋"/>
          <w:color w:val="auto"/>
        </w:rPr>
      </w:pPr>
      <w:r>
        <w:rPr>
          <w:rFonts w:ascii="Times New Roman" w:hAnsi="Times New Roman" w:eastAsia="仿宋"/>
          <w:color w:val="auto"/>
        </w:rPr>
        <w:t>3.单价金额小数点或者百分比有明显错位的，以</w:t>
      </w:r>
      <w:r>
        <w:rPr>
          <w:rFonts w:hint="eastAsia" w:ascii="Times New Roman" w:hAnsi="Times New Roman" w:eastAsia="仿宋"/>
          <w:color w:val="auto"/>
        </w:rPr>
        <w:t>比选</w:t>
      </w:r>
      <w:r>
        <w:rPr>
          <w:rFonts w:ascii="Times New Roman" w:hAnsi="Times New Roman" w:eastAsia="仿宋"/>
          <w:color w:val="auto"/>
        </w:rPr>
        <w:t>一览表的总价为准，并修改单价；</w:t>
      </w:r>
    </w:p>
    <w:p w14:paraId="43661C0C">
      <w:pPr>
        <w:ind w:firstLine="560"/>
        <w:rPr>
          <w:rFonts w:ascii="Times New Roman" w:hAnsi="Times New Roman" w:eastAsia="仿宋"/>
          <w:color w:val="auto"/>
        </w:rPr>
      </w:pPr>
      <w:r>
        <w:rPr>
          <w:rFonts w:ascii="Times New Roman" w:hAnsi="Times New Roman" w:eastAsia="仿宋"/>
          <w:color w:val="auto"/>
        </w:rPr>
        <w:t>4.总价金额与按单价汇总金额不一致的，以单价金额计算结果为准；</w:t>
      </w:r>
    </w:p>
    <w:p w14:paraId="3F4ED51F">
      <w:pPr>
        <w:ind w:firstLine="560"/>
        <w:rPr>
          <w:rFonts w:ascii="Times New Roman" w:hAnsi="Times New Roman" w:eastAsia="仿宋"/>
          <w:color w:val="auto"/>
        </w:rPr>
      </w:pPr>
      <w:r>
        <w:rPr>
          <w:rFonts w:hint="eastAsia" w:ascii="Times New Roman" w:hAnsi="Times New Roman" w:eastAsia="仿宋"/>
          <w:color w:val="auto"/>
        </w:rPr>
        <w:t>比选小组</w:t>
      </w:r>
      <w:r>
        <w:rPr>
          <w:rFonts w:ascii="Times New Roman" w:hAnsi="Times New Roman" w:eastAsia="仿宋"/>
          <w:color w:val="auto"/>
        </w:rPr>
        <w:t>按上述修正错误的原则及方法调整或修正</w:t>
      </w:r>
      <w:r>
        <w:rPr>
          <w:rFonts w:hint="eastAsia" w:ascii="Times New Roman" w:hAnsi="Times New Roman" w:eastAsia="仿宋"/>
          <w:color w:val="auto"/>
        </w:rPr>
        <w:t>参选人</w:t>
      </w:r>
      <w:r>
        <w:rPr>
          <w:rFonts w:ascii="Times New Roman" w:hAnsi="Times New Roman" w:eastAsia="仿宋"/>
          <w:color w:val="auto"/>
        </w:rPr>
        <w:t>比选报价，若同时出现两种以上不一致的，按照前款规定的顺序修正，</w:t>
      </w:r>
      <w:r>
        <w:rPr>
          <w:rFonts w:hint="eastAsia" w:ascii="Times New Roman" w:hAnsi="Times New Roman" w:eastAsia="仿宋"/>
          <w:color w:val="auto"/>
        </w:rPr>
        <w:t>参选人</w:t>
      </w:r>
      <w:r>
        <w:rPr>
          <w:rFonts w:ascii="Times New Roman" w:hAnsi="Times New Roman" w:eastAsia="仿宋"/>
          <w:color w:val="auto"/>
        </w:rPr>
        <w:t>同意并签字确认后，调整后的比选报价对</w:t>
      </w:r>
      <w:r>
        <w:rPr>
          <w:rFonts w:hint="eastAsia" w:ascii="Times New Roman" w:hAnsi="Times New Roman" w:eastAsia="仿宋"/>
          <w:color w:val="auto"/>
        </w:rPr>
        <w:t>参选人</w:t>
      </w:r>
      <w:r>
        <w:rPr>
          <w:rFonts w:ascii="Times New Roman" w:hAnsi="Times New Roman" w:eastAsia="仿宋"/>
          <w:color w:val="auto"/>
        </w:rPr>
        <w:t>具有约束作用。如果</w:t>
      </w:r>
      <w:r>
        <w:rPr>
          <w:rFonts w:hint="eastAsia" w:ascii="Times New Roman" w:hAnsi="Times New Roman" w:eastAsia="仿宋"/>
          <w:color w:val="auto"/>
        </w:rPr>
        <w:t>参选人</w:t>
      </w:r>
      <w:r>
        <w:rPr>
          <w:rFonts w:ascii="Times New Roman" w:hAnsi="Times New Roman" w:eastAsia="仿宋"/>
          <w:color w:val="auto"/>
        </w:rPr>
        <w:t>不接受修正后的报价，则其比选将作为无效比选处理。</w:t>
      </w:r>
    </w:p>
    <w:p w14:paraId="4E52DB28">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七</w:t>
      </w:r>
      <w:r>
        <w:rPr>
          <w:rFonts w:ascii="Times New Roman" w:hAnsi="Times New Roman" w:eastAsia="仿宋"/>
          <w:color w:val="auto"/>
        </w:rPr>
        <w:t>）参选文件的递交</w:t>
      </w:r>
    </w:p>
    <w:p w14:paraId="5BAE5FA7">
      <w:pPr>
        <w:ind w:firstLine="560"/>
        <w:rPr>
          <w:rFonts w:ascii="Times New Roman" w:hAnsi="Times New Roman" w:eastAsia="仿宋"/>
          <w:color w:val="auto"/>
        </w:rPr>
      </w:pPr>
      <w:r>
        <w:rPr>
          <w:rFonts w:ascii="Times New Roman" w:hAnsi="Times New Roman" w:eastAsia="仿宋"/>
          <w:color w:val="auto"/>
        </w:rPr>
        <w:t>1.凡符合本比选文件资质要求的</w:t>
      </w:r>
      <w:r>
        <w:rPr>
          <w:rFonts w:hint="eastAsia" w:ascii="Times New Roman" w:hAnsi="Times New Roman" w:eastAsia="仿宋"/>
          <w:color w:val="auto"/>
        </w:rPr>
        <w:t>参选人</w:t>
      </w:r>
      <w:r>
        <w:rPr>
          <w:rFonts w:ascii="Times New Roman" w:hAnsi="Times New Roman" w:eastAsia="仿宋"/>
          <w:color w:val="auto"/>
        </w:rPr>
        <w:t>，应按要求编制好参选文件，并在规定的有效时间内递交到指定地点；</w:t>
      </w:r>
    </w:p>
    <w:p w14:paraId="4B986681">
      <w:pPr>
        <w:ind w:firstLine="560"/>
        <w:rPr>
          <w:rFonts w:ascii="Times New Roman" w:hAnsi="Times New Roman" w:eastAsia="仿宋"/>
          <w:color w:val="auto"/>
          <w:spacing w:val="-6"/>
        </w:rPr>
      </w:pPr>
      <w:r>
        <w:rPr>
          <w:rFonts w:ascii="Times New Roman" w:hAnsi="Times New Roman" w:eastAsia="仿宋"/>
          <w:color w:val="auto"/>
        </w:rPr>
        <w:t>2.采</w:t>
      </w:r>
      <w:r>
        <w:rPr>
          <w:rFonts w:ascii="Times New Roman" w:hAnsi="Times New Roman" w:eastAsia="仿宋"/>
          <w:color w:val="auto"/>
          <w:spacing w:val="-6"/>
        </w:rPr>
        <w:t>购人收到的参选文件，一律不予退还，作为采购档案资料存档备查。</w:t>
      </w:r>
    </w:p>
    <w:p w14:paraId="30A13EBA">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四、比选现场</w:t>
      </w:r>
    </w:p>
    <w:p w14:paraId="34F03392">
      <w:pPr>
        <w:ind w:firstLine="560"/>
        <w:rPr>
          <w:rFonts w:ascii="Times New Roman" w:hAnsi="Times New Roman" w:eastAsia="仿宋"/>
          <w:color w:val="auto"/>
          <w:spacing w:val="-6"/>
        </w:rPr>
      </w:pPr>
      <w:r>
        <w:rPr>
          <w:rFonts w:ascii="Times New Roman" w:hAnsi="Times New Roman" w:eastAsia="仿宋"/>
          <w:color w:val="auto"/>
        </w:rPr>
        <w:t>（一）比</w:t>
      </w:r>
      <w:r>
        <w:rPr>
          <w:rFonts w:ascii="Times New Roman" w:hAnsi="Times New Roman" w:eastAsia="仿宋"/>
          <w:color w:val="auto"/>
          <w:spacing w:val="-6"/>
        </w:rPr>
        <w:t>选应当在比选文件中“比选邀请书”确定的时间和地点公开进行。</w:t>
      </w:r>
    </w:p>
    <w:p w14:paraId="7DF7453F">
      <w:pPr>
        <w:ind w:firstLine="560"/>
        <w:rPr>
          <w:rFonts w:ascii="Times New Roman" w:hAnsi="Times New Roman" w:eastAsia="仿宋"/>
          <w:color w:val="auto"/>
        </w:rPr>
      </w:pPr>
      <w:r>
        <w:rPr>
          <w:rFonts w:hint="eastAsia" w:ascii="Times New Roman" w:hAnsi="Times New Roman" w:eastAsia="仿宋"/>
          <w:color w:val="auto"/>
        </w:rPr>
        <w:t>（二）采购人可视采购具体情况，延长比选截止时间和比选时间，并将变更时间书面通知所有比选文件收受人。</w:t>
      </w:r>
    </w:p>
    <w:p w14:paraId="12288098">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三</w:t>
      </w:r>
      <w:r>
        <w:rPr>
          <w:rFonts w:ascii="Times New Roman" w:hAnsi="Times New Roman" w:eastAsia="仿宋"/>
          <w:color w:val="auto"/>
        </w:rPr>
        <w:t>）比选过程由采购人主持。</w:t>
      </w:r>
    </w:p>
    <w:p w14:paraId="36DA00B1">
      <w:pPr>
        <w:ind w:firstLine="560"/>
        <w:rPr>
          <w:rFonts w:ascii="Times New Roman" w:hAnsi="Times New Roman" w:eastAsia="仿宋"/>
          <w:color w:val="auto"/>
        </w:rPr>
      </w:pPr>
      <w:r>
        <w:rPr>
          <w:rFonts w:ascii="Times New Roman" w:hAnsi="Times New Roman" w:eastAsia="仿宋"/>
          <w:color w:val="auto"/>
        </w:rPr>
        <w:t>（</w:t>
      </w:r>
      <w:r>
        <w:rPr>
          <w:rFonts w:hint="eastAsia" w:ascii="Times New Roman" w:hAnsi="Times New Roman" w:eastAsia="仿宋"/>
          <w:color w:val="auto"/>
        </w:rPr>
        <w:t>四</w:t>
      </w:r>
      <w:r>
        <w:rPr>
          <w:rFonts w:ascii="Times New Roman" w:hAnsi="Times New Roman" w:eastAsia="仿宋"/>
          <w:color w:val="auto"/>
        </w:rPr>
        <w:t>）评选时，由</w:t>
      </w:r>
      <w:r>
        <w:rPr>
          <w:rFonts w:hint="eastAsia" w:ascii="Times New Roman" w:hAnsi="Times New Roman" w:eastAsia="仿宋"/>
          <w:color w:val="auto"/>
        </w:rPr>
        <w:t>参选人</w:t>
      </w:r>
      <w:r>
        <w:rPr>
          <w:rFonts w:ascii="Times New Roman" w:hAnsi="Times New Roman" w:eastAsia="仿宋"/>
          <w:color w:val="auto"/>
        </w:rPr>
        <w:t>或者其推选的代表检查参选文件的密封情况，经确认密封完好的参选文件，由采购人当众拆封，宣读参选文件正本“</w:t>
      </w:r>
      <w:r>
        <w:rPr>
          <w:rFonts w:hint="eastAsia" w:ascii="Times New Roman" w:hAnsi="Times New Roman" w:eastAsia="仿宋"/>
          <w:color w:val="auto"/>
        </w:rPr>
        <w:t>比选一览表</w:t>
      </w:r>
      <w:r>
        <w:rPr>
          <w:rFonts w:ascii="Times New Roman" w:hAnsi="Times New Roman" w:eastAsia="仿宋"/>
          <w:color w:val="auto"/>
        </w:rPr>
        <w:t>”的</w:t>
      </w:r>
      <w:r>
        <w:rPr>
          <w:rFonts w:hint="eastAsia" w:ascii="Times New Roman" w:hAnsi="Times New Roman" w:eastAsia="仿宋"/>
          <w:color w:val="auto"/>
        </w:rPr>
        <w:t>参选人</w:t>
      </w:r>
      <w:r>
        <w:rPr>
          <w:rFonts w:ascii="Times New Roman" w:hAnsi="Times New Roman" w:eastAsia="仿宋"/>
          <w:color w:val="auto"/>
        </w:rPr>
        <w:t>名称和比选报价。</w:t>
      </w:r>
    </w:p>
    <w:p w14:paraId="645945FD">
      <w:pPr>
        <w:ind w:firstLine="560"/>
        <w:rPr>
          <w:rFonts w:ascii="Times New Roman" w:hAnsi="Times New Roman" w:eastAsia="方正黑体_GBK"/>
          <w:color w:val="auto"/>
          <w:szCs w:val="20"/>
        </w:rPr>
      </w:pPr>
      <w:r>
        <w:rPr>
          <w:rFonts w:hint="eastAsia" w:ascii="Times New Roman" w:hAnsi="Times New Roman" w:eastAsia="方正黑体_GBK"/>
          <w:color w:val="auto"/>
          <w:szCs w:val="20"/>
        </w:rPr>
        <w:t>五、评标</w:t>
      </w:r>
    </w:p>
    <w:p w14:paraId="4FDEE3E2">
      <w:pPr>
        <w:pStyle w:val="3"/>
        <w:adjustRightInd w:val="0"/>
        <w:snapToGrid w:val="0"/>
        <w:spacing w:before="0" w:after="0"/>
        <w:ind w:firstLine="560"/>
        <w:jc w:val="left"/>
      </w:pPr>
      <w:r>
        <w:rPr>
          <w:rFonts w:hint="eastAsia" w:ascii="Times New Roman" w:hAnsi="Times New Roman" w:eastAsia="仿宋" w:cs="Times New Roman"/>
          <w:color w:val="auto"/>
          <w:sz w:val="28"/>
          <w:szCs w:val="24"/>
        </w:rPr>
        <w:t>见第四篇“评选”内容。</w:t>
      </w:r>
    </w:p>
    <w:p w14:paraId="34D9414D">
      <w:pPr>
        <w:pStyle w:val="10"/>
        <w:spacing w:line="579" w:lineRule="exact"/>
        <w:ind w:firstLine="560"/>
        <w:rPr>
          <w:rFonts w:ascii="Times New Roman" w:hAnsi="Times New Roman" w:eastAsia="方正黑体_GBK" w:cs="Times New Roman"/>
          <w:color w:val="auto"/>
          <w:szCs w:val="20"/>
        </w:rPr>
      </w:pPr>
      <w:r>
        <w:rPr>
          <w:rFonts w:ascii="Times New Roman" w:hAnsi="Times New Roman" w:eastAsia="方正黑体_GBK" w:cs="Times New Roman"/>
          <w:color w:val="auto"/>
          <w:szCs w:val="20"/>
        </w:rPr>
        <w:t>六、中选</w:t>
      </w:r>
    </w:p>
    <w:p w14:paraId="0DAAE58B">
      <w:pPr>
        <w:adjustRightInd w:val="0"/>
        <w:snapToGrid w:val="0"/>
        <w:ind w:firstLine="560"/>
        <w:rPr>
          <w:color w:val="000000"/>
          <w:szCs w:val="28"/>
        </w:rPr>
      </w:pPr>
      <w:r>
        <w:rPr>
          <w:rFonts w:hint="eastAsia"/>
          <w:color w:val="000000"/>
          <w:szCs w:val="28"/>
        </w:rPr>
        <w:t>（一）中选原则</w:t>
      </w:r>
    </w:p>
    <w:p w14:paraId="7034AC4E">
      <w:pPr>
        <w:adjustRightInd w:val="0"/>
        <w:snapToGrid w:val="0"/>
        <w:ind w:firstLine="560"/>
        <w:rPr>
          <w:color w:val="000000"/>
          <w:szCs w:val="28"/>
        </w:rPr>
      </w:pPr>
      <w:r>
        <w:rPr>
          <w:rFonts w:hint="eastAsia"/>
          <w:color w:val="000000"/>
          <w:szCs w:val="28"/>
        </w:rPr>
        <w:t>采购人或其授权的比选小组应按照评审报告中推荐的中选候选人排名顺序确定中选人。</w:t>
      </w:r>
    </w:p>
    <w:p w14:paraId="2FC32FFC">
      <w:pPr>
        <w:adjustRightInd w:val="0"/>
        <w:snapToGrid w:val="0"/>
        <w:ind w:firstLine="560"/>
        <w:rPr>
          <w:color w:val="000000"/>
          <w:szCs w:val="28"/>
        </w:rPr>
      </w:pPr>
      <w:r>
        <w:rPr>
          <w:rFonts w:hint="eastAsia"/>
          <w:color w:val="000000"/>
          <w:szCs w:val="28"/>
        </w:rPr>
        <w:t>（二）中选程序</w:t>
      </w:r>
    </w:p>
    <w:p w14:paraId="6E14B5EE">
      <w:pPr>
        <w:pStyle w:val="10"/>
        <w:spacing w:line="579" w:lineRule="exact"/>
        <w:ind w:firstLine="560"/>
        <w:rPr>
          <w:rFonts w:ascii="Calibri" w:hAnsi="Calibri" w:eastAsia="方正仿宋_GBK" w:cs="Times New Roman"/>
          <w:color w:val="000000"/>
          <w:szCs w:val="28"/>
        </w:rPr>
      </w:pPr>
      <w:r>
        <w:rPr>
          <w:rFonts w:eastAsia="方正仿宋_GBK"/>
          <w:color w:val="000000"/>
          <w:szCs w:val="28"/>
        </w:rPr>
        <w:t>1</w:t>
      </w:r>
      <w:r>
        <w:rPr>
          <w:rFonts w:hint="eastAsia" w:eastAsia="方正仿宋_GBK"/>
          <w:color w:val="000000"/>
          <w:szCs w:val="28"/>
        </w:rPr>
        <w:t>.采购人应当自出具评</w:t>
      </w:r>
      <w:r>
        <w:rPr>
          <w:rFonts w:hint="eastAsia"/>
          <w:color w:val="000000"/>
          <w:szCs w:val="28"/>
        </w:rPr>
        <w:t>审</w:t>
      </w:r>
      <w:r>
        <w:rPr>
          <w:rFonts w:hint="eastAsia" w:eastAsia="方正仿宋_GBK"/>
          <w:color w:val="000000"/>
          <w:szCs w:val="28"/>
        </w:rPr>
        <w:t>报告之日起</w:t>
      </w:r>
      <w:r>
        <w:rPr>
          <w:rFonts w:eastAsia="方正仿宋_GBK"/>
          <w:color w:val="000000"/>
          <w:szCs w:val="28"/>
        </w:rPr>
        <w:t>5</w:t>
      </w:r>
      <w:r>
        <w:rPr>
          <w:rFonts w:hint="eastAsia" w:eastAsia="方正仿宋_GBK"/>
          <w:color w:val="000000"/>
          <w:szCs w:val="28"/>
        </w:rPr>
        <w:t>个工作日内按评</w:t>
      </w:r>
      <w:r>
        <w:rPr>
          <w:rFonts w:hint="eastAsia"/>
          <w:color w:val="000000"/>
          <w:szCs w:val="28"/>
        </w:rPr>
        <w:t>审</w:t>
      </w:r>
      <w:r>
        <w:rPr>
          <w:rFonts w:hint="eastAsia" w:eastAsia="方正仿宋_GBK"/>
          <w:color w:val="000000"/>
          <w:szCs w:val="28"/>
        </w:rPr>
        <w:t>报告推荐的中</w:t>
      </w:r>
      <w:r>
        <w:rPr>
          <w:rFonts w:hint="eastAsia"/>
          <w:color w:val="000000"/>
          <w:szCs w:val="28"/>
        </w:rPr>
        <w:t>选</w:t>
      </w:r>
      <w:r>
        <w:rPr>
          <w:rFonts w:hint="eastAsia" w:eastAsia="方正仿宋_GBK"/>
          <w:color w:val="000000"/>
          <w:szCs w:val="28"/>
        </w:rPr>
        <w:t>候选人顺序确定中</w:t>
      </w:r>
      <w:r>
        <w:rPr>
          <w:rFonts w:hint="eastAsia"/>
          <w:color w:val="000000"/>
          <w:szCs w:val="28"/>
        </w:rPr>
        <w:t>选</w:t>
      </w:r>
      <w:r>
        <w:rPr>
          <w:rFonts w:hint="eastAsia" w:eastAsia="方正仿宋_GBK"/>
          <w:color w:val="000000"/>
          <w:szCs w:val="28"/>
        </w:rPr>
        <w:t>人。</w:t>
      </w:r>
    </w:p>
    <w:p w14:paraId="2B944E11">
      <w:pPr>
        <w:adjustRightInd w:val="0"/>
        <w:snapToGrid w:val="0"/>
        <w:ind w:firstLine="560"/>
        <w:rPr>
          <w:color w:val="000000"/>
          <w:szCs w:val="28"/>
        </w:rPr>
      </w:pPr>
      <w:r>
        <w:t>2</w:t>
      </w:r>
      <w:r>
        <w:rPr>
          <w:rFonts w:hint="eastAsia"/>
          <w:color w:val="000000"/>
          <w:szCs w:val="28"/>
        </w:rPr>
        <w:t>.采购人应当自中选人确定之日起2个工作日内，在重庆华龙网（http://www.cqnews.net）首页、阳光重庆（www.ygcq.com.cn）网站、第1眼app公告中选结果。中选公告期限为1个工作日。</w:t>
      </w:r>
    </w:p>
    <w:p w14:paraId="7383BD83">
      <w:pPr>
        <w:pStyle w:val="10"/>
        <w:spacing w:line="579" w:lineRule="exact"/>
        <w:ind w:firstLine="560"/>
        <w:rPr>
          <w:rFonts w:ascii="Times New Roman" w:hAnsi="Times New Roman" w:eastAsia="仿宋"/>
          <w:color w:val="auto"/>
        </w:rPr>
      </w:pPr>
      <w:r>
        <w:rPr>
          <w:rFonts w:hint="eastAsia" w:ascii="Times New Roman" w:hAnsi="Times New Roman" w:eastAsia="仿宋"/>
          <w:color w:val="auto"/>
        </w:rPr>
        <w:t>3</w:t>
      </w:r>
      <w:r>
        <w:rPr>
          <w:rFonts w:ascii="Times New Roman" w:hAnsi="Times New Roman" w:eastAsia="仿宋"/>
          <w:color w:val="auto"/>
        </w:rPr>
        <w:t>.</w:t>
      </w:r>
      <w:r>
        <w:rPr>
          <w:rFonts w:hint="eastAsia" w:ascii="Times New Roman" w:hAnsi="Times New Roman" w:eastAsia="仿宋"/>
          <w:color w:val="auto"/>
        </w:rPr>
        <w:t>中选人变更</w:t>
      </w:r>
    </w:p>
    <w:p w14:paraId="200A348A">
      <w:pPr>
        <w:ind w:firstLine="560"/>
        <w:rPr>
          <w:rFonts w:ascii="Times New Roman" w:hAnsi="Times New Roman" w:eastAsia="仿宋"/>
          <w:color w:val="auto"/>
        </w:rPr>
      </w:pPr>
      <w:r>
        <w:rPr>
          <w:rFonts w:hint="eastAsia" w:ascii="Times New Roman" w:hAnsi="Times New Roman" w:eastAsia="仿宋"/>
          <w:color w:val="auto"/>
        </w:rPr>
        <w:t>中选人拒绝与采购人签订协议的</w:t>
      </w:r>
      <w:r>
        <w:rPr>
          <w:rFonts w:ascii="Times New Roman" w:hAnsi="Times New Roman" w:eastAsia="仿宋"/>
          <w:color w:val="auto"/>
        </w:rPr>
        <w:t>、</w:t>
      </w:r>
      <w:bookmarkStart w:id="141" w:name="_Hlk225261335"/>
      <w:r>
        <w:rPr>
          <w:rFonts w:ascii="Times New Roman" w:hAnsi="Times New Roman" w:eastAsia="仿宋"/>
          <w:color w:val="auto"/>
        </w:rPr>
        <w:t>因不可抗力不能履行合同、不按照比选文件要求提交履约保证金，或者被查实存在影响中选结果的违法行为等情形，不符合中选条件的，</w:t>
      </w:r>
      <w:bookmarkEnd w:id="141"/>
      <w:r>
        <w:rPr>
          <w:rFonts w:ascii="Times New Roman" w:hAnsi="Times New Roman" w:eastAsia="仿宋"/>
          <w:color w:val="auto"/>
        </w:rPr>
        <w:t>采购人可以按照</w:t>
      </w:r>
      <w:r>
        <w:rPr>
          <w:rFonts w:hint="eastAsia" w:ascii="Times New Roman" w:hAnsi="Times New Roman" w:eastAsia="仿宋"/>
          <w:color w:val="auto"/>
        </w:rPr>
        <w:t>评审报告推荐的</w:t>
      </w:r>
      <w:r>
        <w:rPr>
          <w:rFonts w:ascii="Times New Roman" w:hAnsi="Times New Roman" w:eastAsia="仿宋"/>
          <w:color w:val="auto"/>
        </w:rPr>
        <w:t>中选候选人</w:t>
      </w:r>
      <w:r>
        <w:rPr>
          <w:rFonts w:hint="eastAsia" w:ascii="Times New Roman" w:hAnsi="Times New Roman" w:eastAsia="仿宋"/>
          <w:color w:val="auto"/>
        </w:rPr>
        <w:t>顺序</w:t>
      </w:r>
      <w:r>
        <w:rPr>
          <w:rFonts w:ascii="Times New Roman" w:hAnsi="Times New Roman" w:eastAsia="仿宋"/>
          <w:color w:val="auto"/>
        </w:rPr>
        <w:t>确定</w:t>
      </w:r>
      <w:r>
        <w:rPr>
          <w:rFonts w:hint="eastAsia" w:ascii="Times New Roman" w:hAnsi="Times New Roman" w:eastAsia="仿宋"/>
          <w:color w:val="auto"/>
        </w:rPr>
        <w:t>下一位</w:t>
      </w:r>
      <w:r>
        <w:rPr>
          <w:rFonts w:ascii="Times New Roman" w:hAnsi="Times New Roman" w:eastAsia="仿宋"/>
          <w:color w:val="auto"/>
        </w:rPr>
        <w:t>候选人为中选</w:t>
      </w:r>
      <w:r>
        <w:rPr>
          <w:rFonts w:hint="eastAsia" w:ascii="Times New Roman" w:hAnsi="Times New Roman" w:eastAsia="仿宋"/>
          <w:color w:val="auto"/>
        </w:rPr>
        <w:t>人</w:t>
      </w:r>
      <w:r>
        <w:rPr>
          <w:rFonts w:ascii="Times New Roman" w:hAnsi="Times New Roman" w:eastAsia="仿宋"/>
          <w:color w:val="auto"/>
        </w:rPr>
        <w:t>，也可以重新</w:t>
      </w:r>
      <w:r>
        <w:rPr>
          <w:rFonts w:hint="eastAsia" w:ascii="Times New Roman" w:hAnsi="Times New Roman" w:eastAsia="仿宋"/>
          <w:color w:val="auto"/>
        </w:rPr>
        <w:t>开展</w:t>
      </w:r>
      <w:r>
        <w:rPr>
          <w:rFonts w:ascii="Times New Roman" w:hAnsi="Times New Roman" w:eastAsia="仿宋"/>
          <w:color w:val="auto"/>
        </w:rPr>
        <w:t>比选</w:t>
      </w:r>
      <w:r>
        <w:rPr>
          <w:rFonts w:hint="eastAsia" w:ascii="Times New Roman" w:hAnsi="Times New Roman" w:eastAsia="仿宋"/>
          <w:color w:val="auto"/>
        </w:rPr>
        <w:t>活动</w:t>
      </w:r>
      <w:r>
        <w:rPr>
          <w:rFonts w:ascii="Times New Roman" w:hAnsi="Times New Roman" w:eastAsia="仿宋"/>
          <w:color w:val="auto"/>
        </w:rPr>
        <w:t>。</w:t>
      </w:r>
    </w:p>
    <w:p w14:paraId="428E65FA">
      <w:pPr>
        <w:pStyle w:val="3"/>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七、成交通知</w:t>
      </w:r>
    </w:p>
    <w:p w14:paraId="6BEB0B79">
      <w:pPr>
        <w:pStyle w:val="10"/>
        <w:spacing w:line="579" w:lineRule="exact"/>
        <w:ind w:firstLine="560"/>
        <w:rPr>
          <w:rFonts w:ascii="Times New Roman" w:hAnsi="Times New Roman" w:eastAsia="仿宋" w:cs="Times New Roman"/>
          <w:color w:val="auto"/>
          <w:sz w:val="32"/>
          <w:szCs w:val="32"/>
        </w:rPr>
      </w:pPr>
      <w:r>
        <w:rPr>
          <w:rFonts w:ascii="Times New Roman" w:hAnsi="Times New Roman" w:eastAsia="仿宋" w:cs="Times New Roman"/>
          <w:color w:val="auto"/>
          <w:szCs w:val="24"/>
        </w:rPr>
        <w:t>采购人在中选</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确定之日起5个工作日内，通知</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成交结果，并同时向中选</w:t>
      </w:r>
      <w:r>
        <w:rPr>
          <w:rFonts w:hint="eastAsia" w:ascii="Times New Roman" w:hAnsi="Times New Roman" w:eastAsia="仿宋" w:cs="Times New Roman"/>
          <w:color w:val="auto"/>
          <w:szCs w:val="24"/>
        </w:rPr>
        <w:t>参选人</w:t>
      </w:r>
      <w:r>
        <w:rPr>
          <w:rFonts w:ascii="Times New Roman" w:hAnsi="Times New Roman" w:eastAsia="仿宋" w:cs="Times New Roman"/>
          <w:color w:val="auto"/>
          <w:szCs w:val="24"/>
        </w:rPr>
        <w:t>发出成交通知书。</w:t>
      </w:r>
    </w:p>
    <w:p w14:paraId="33241120">
      <w:pPr>
        <w:pStyle w:val="3"/>
        <w:tabs>
          <w:tab w:val="left" w:pos="3495"/>
        </w:tabs>
        <w:adjustRightInd w:val="0"/>
        <w:snapToGrid w:val="0"/>
        <w:spacing w:before="0" w:after="0"/>
        <w:ind w:firstLine="560"/>
        <w:jc w:val="left"/>
        <w:rPr>
          <w:rFonts w:ascii="Times New Roman" w:hAnsi="Times New Roman" w:eastAsia="方正黑体_GBK" w:cs="Times New Roman"/>
          <w:color w:val="auto"/>
          <w:sz w:val="28"/>
          <w:szCs w:val="20"/>
        </w:rPr>
      </w:pPr>
      <w:r>
        <w:rPr>
          <w:rFonts w:ascii="Times New Roman" w:hAnsi="Times New Roman" w:eastAsia="方正黑体_GBK" w:cs="Times New Roman"/>
          <w:color w:val="auto"/>
          <w:sz w:val="28"/>
          <w:szCs w:val="20"/>
        </w:rPr>
        <w:t>八、签订合同</w:t>
      </w:r>
      <w:r>
        <w:rPr>
          <w:rFonts w:ascii="Times New Roman" w:hAnsi="Times New Roman" w:eastAsia="方正黑体_GBK" w:cs="Times New Roman"/>
          <w:color w:val="auto"/>
          <w:sz w:val="28"/>
          <w:szCs w:val="20"/>
        </w:rPr>
        <w:tab/>
      </w:r>
    </w:p>
    <w:p w14:paraId="09B1CF52">
      <w:pPr>
        <w:ind w:firstLine="560"/>
        <w:rPr>
          <w:rFonts w:ascii="Times New Roman" w:hAnsi="Times New Roman" w:eastAsia="仿宋"/>
          <w:color w:val="auto"/>
        </w:rPr>
      </w:pPr>
      <w:r>
        <w:rPr>
          <w:rFonts w:ascii="Times New Roman" w:hAnsi="Times New Roman" w:eastAsia="仿宋"/>
          <w:color w:val="auto"/>
        </w:rPr>
        <w:t>（一）采购人和中选</w:t>
      </w:r>
      <w:r>
        <w:rPr>
          <w:rFonts w:hint="eastAsia" w:ascii="Times New Roman" w:hAnsi="Times New Roman" w:eastAsia="仿宋"/>
          <w:color w:val="auto"/>
        </w:rPr>
        <w:t>参选人</w:t>
      </w:r>
      <w:r>
        <w:rPr>
          <w:rFonts w:ascii="Times New Roman" w:hAnsi="Times New Roman" w:eastAsia="仿宋"/>
          <w:color w:val="auto"/>
        </w:rPr>
        <w:t>应当自中选通知书发出之日起10日内，按照比选文件和中选</w:t>
      </w:r>
      <w:r>
        <w:rPr>
          <w:rFonts w:hint="eastAsia" w:ascii="Times New Roman" w:hAnsi="Times New Roman" w:eastAsia="仿宋"/>
          <w:color w:val="auto"/>
        </w:rPr>
        <w:t>参选人</w:t>
      </w:r>
      <w:r>
        <w:rPr>
          <w:rFonts w:ascii="Times New Roman" w:hAnsi="Times New Roman" w:eastAsia="仿宋"/>
          <w:color w:val="auto"/>
        </w:rPr>
        <w:t>的参选文件订立书面合同。</w:t>
      </w:r>
    </w:p>
    <w:p w14:paraId="056B3657">
      <w:pPr>
        <w:ind w:firstLine="560"/>
        <w:jc w:val="left"/>
        <w:rPr>
          <w:rFonts w:ascii="Times New Roman" w:hAnsi="Times New Roman" w:eastAsia="仿宋"/>
          <w:color w:val="auto"/>
          <w:spacing w:val="-11"/>
        </w:rPr>
      </w:pPr>
      <w:r>
        <w:rPr>
          <w:rFonts w:ascii="Times New Roman" w:hAnsi="Times New Roman" w:eastAsia="仿宋"/>
          <w:color w:val="auto"/>
        </w:rPr>
        <w:t>（二）</w:t>
      </w:r>
      <w:r>
        <w:rPr>
          <w:rFonts w:ascii="Times New Roman" w:hAnsi="Times New Roman" w:eastAsia="仿宋"/>
          <w:color w:val="auto"/>
          <w:spacing w:val="-11"/>
        </w:rPr>
        <w:t>比选文件要求中选</w:t>
      </w:r>
      <w:r>
        <w:rPr>
          <w:rFonts w:hint="eastAsia" w:ascii="Times New Roman" w:hAnsi="Times New Roman" w:eastAsia="仿宋"/>
          <w:color w:val="auto"/>
          <w:spacing w:val="-11"/>
        </w:rPr>
        <w:t>参选人</w:t>
      </w:r>
      <w:r>
        <w:rPr>
          <w:rFonts w:ascii="Times New Roman" w:hAnsi="Times New Roman" w:eastAsia="仿宋"/>
          <w:color w:val="auto"/>
          <w:spacing w:val="-11"/>
        </w:rPr>
        <w:t>提交履约保证金的，中选</w:t>
      </w:r>
      <w:r>
        <w:rPr>
          <w:rFonts w:hint="eastAsia" w:ascii="Times New Roman" w:hAnsi="Times New Roman" w:eastAsia="仿宋"/>
          <w:color w:val="auto"/>
          <w:spacing w:val="-11"/>
        </w:rPr>
        <w:t>参选人</w:t>
      </w:r>
      <w:r>
        <w:rPr>
          <w:rFonts w:ascii="Times New Roman" w:hAnsi="Times New Roman" w:eastAsia="仿宋"/>
          <w:color w:val="auto"/>
          <w:spacing w:val="-11"/>
        </w:rPr>
        <w:t>应</w:t>
      </w:r>
      <w:r>
        <w:rPr>
          <w:rFonts w:hint="eastAsia" w:ascii="Times New Roman" w:hAnsi="Times New Roman" w:eastAsia="仿宋"/>
          <w:color w:val="auto"/>
          <w:spacing w:val="-11"/>
        </w:rPr>
        <w:t>当</w:t>
      </w:r>
      <w:r>
        <w:rPr>
          <w:rFonts w:ascii="Times New Roman" w:hAnsi="Times New Roman" w:eastAsia="仿宋"/>
          <w:color w:val="auto"/>
          <w:spacing w:val="-11"/>
        </w:rPr>
        <w:t>提交。</w:t>
      </w:r>
    </w:p>
    <w:p w14:paraId="75DBED07">
      <w:pPr>
        <w:ind w:firstLine="598"/>
        <w:jc w:val="left"/>
        <w:rPr>
          <w:rFonts w:ascii="Times New Roman" w:hAnsi="Times New Roman" w:eastAsia="方正小标宋_GBK"/>
          <w:b/>
          <w:bCs/>
          <w:color w:val="auto"/>
          <w:spacing w:val="-11"/>
          <w:kern w:val="44"/>
          <w:sz w:val="32"/>
          <w:szCs w:val="44"/>
        </w:rPr>
      </w:pPr>
    </w:p>
    <w:p w14:paraId="7D1047E5">
      <w:pPr>
        <w:pStyle w:val="2"/>
        <w:spacing w:before="0" w:after="0" w:line="240" w:lineRule="auto"/>
        <w:ind w:firstLine="0" w:firstLineChars="0"/>
        <w:jc w:val="center"/>
        <w:rPr>
          <w:rFonts w:ascii="Times New Roman" w:hAnsi="Times New Roman" w:eastAsia="方正小标宋_GBK" w:cs="Times New Roman"/>
          <w:b/>
          <w:bCs/>
          <w:color w:val="auto"/>
          <w:kern w:val="44"/>
          <w:sz w:val="32"/>
          <w:szCs w:val="44"/>
        </w:rPr>
      </w:pPr>
      <w:r>
        <w:rPr>
          <w:rFonts w:ascii="Times New Roman" w:hAnsi="Times New Roman" w:eastAsia="方正小标宋_GBK" w:cs="Times New Roman"/>
          <w:b/>
          <w:bCs/>
          <w:color w:val="auto"/>
          <w:kern w:val="44"/>
          <w:sz w:val="32"/>
          <w:szCs w:val="44"/>
        </w:rPr>
        <w:t>第六篇  合同主要条款（样本）</w:t>
      </w:r>
      <w:bookmarkEnd w:id="115"/>
      <w:bookmarkEnd w:id="116"/>
      <w:bookmarkEnd w:id="117"/>
      <w:bookmarkEnd w:id="118"/>
      <w:bookmarkEnd w:id="119"/>
      <w:bookmarkEnd w:id="120"/>
      <w:bookmarkEnd w:id="121"/>
    </w:p>
    <w:p w14:paraId="74A32768">
      <w:pPr>
        <w:pStyle w:val="28"/>
        <w:adjustRightInd w:val="0"/>
        <w:snapToGrid w:val="0"/>
        <w:spacing w:line="579" w:lineRule="exact"/>
        <w:ind w:left="560" w:firstLine="0" w:firstLineChars="0"/>
        <w:rPr>
          <w:rFonts w:eastAsia="仿宋"/>
          <w:sz w:val="22"/>
          <w:szCs w:val="22"/>
        </w:rPr>
      </w:pPr>
    </w:p>
    <w:p w14:paraId="322BAD81">
      <w:pPr>
        <w:ind w:firstLine="560"/>
        <w:rPr>
          <w:rFonts w:ascii="方正仿宋_GBK"/>
          <w:szCs w:val="28"/>
        </w:rPr>
      </w:pPr>
      <w:r>
        <w:rPr>
          <w:rFonts w:hint="eastAsia" w:ascii="方正仿宋_GBK"/>
          <w:szCs w:val="28"/>
        </w:rPr>
        <w:t>甲 方：重庆华龙网集团股份有限公司</w:t>
      </w:r>
    </w:p>
    <w:p w14:paraId="50ABF6EB">
      <w:pPr>
        <w:ind w:firstLine="560"/>
        <w:rPr>
          <w:rFonts w:ascii="方正仿宋_GBK"/>
          <w:szCs w:val="28"/>
        </w:rPr>
      </w:pPr>
      <w:r>
        <w:rPr>
          <w:rFonts w:hint="eastAsia" w:ascii="方正仿宋_GBK"/>
          <w:szCs w:val="28"/>
        </w:rPr>
        <w:t xml:space="preserve">联系人（经办人）：           职 务： </w:t>
      </w:r>
    </w:p>
    <w:p w14:paraId="702C7307">
      <w:pPr>
        <w:ind w:firstLine="560"/>
        <w:rPr>
          <w:rFonts w:ascii="方正仿宋_GBK"/>
          <w:szCs w:val="28"/>
        </w:rPr>
      </w:pPr>
      <w:r>
        <w:rPr>
          <w:rFonts w:hint="eastAsia" w:ascii="方正仿宋_GBK"/>
          <w:szCs w:val="28"/>
        </w:rPr>
        <w:t>住所地：重庆市两江新区金开大道西段106号10栋移动新媒体产业大厦</w:t>
      </w:r>
    </w:p>
    <w:p w14:paraId="7445D5B1">
      <w:pPr>
        <w:ind w:firstLine="560"/>
        <w:rPr>
          <w:rFonts w:ascii="方正仿宋_GBK"/>
          <w:szCs w:val="28"/>
        </w:rPr>
      </w:pPr>
      <w:r>
        <w:rPr>
          <w:rFonts w:hint="eastAsia" w:ascii="方正仿宋_GBK"/>
          <w:szCs w:val="28"/>
        </w:rPr>
        <w:t>电 话：</w:t>
      </w:r>
    </w:p>
    <w:p w14:paraId="3623D4C6">
      <w:pPr>
        <w:ind w:firstLine="560"/>
        <w:rPr>
          <w:rFonts w:ascii="方正仿宋_GBK"/>
          <w:szCs w:val="28"/>
        </w:rPr>
      </w:pPr>
      <w:r>
        <w:rPr>
          <w:rFonts w:hint="eastAsia" w:ascii="方正仿宋_GBK"/>
          <w:szCs w:val="28"/>
        </w:rPr>
        <w:t>QQ：                         邮 箱：</w:t>
      </w:r>
    </w:p>
    <w:p w14:paraId="17A671F2">
      <w:pPr>
        <w:ind w:firstLine="560"/>
        <w:rPr>
          <w:rFonts w:ascii="方正仿宋_GBK"/>
          <w:szCs w:val="28"/>
        </w:rPr>
      </w:pPr>
      <w:r>
        <w:rPr>
          <w:rFonts w:hint="eastAsia" w:ascii="方正仿宋_GBK"/>
          <w:szCs w:val="28"/>
        </w:rPr>
        <w:t xml:space="preserve">                                     </w:t>
      </w:r>
    </w:p>
    <w:p w14:paraId="676E055D">
      <w:pPr>
        <w:ind w:firstLine="560"/>
        <w:rPr>
          <w:rFonts w:ascii="方正仿宋_GBK"/>
          <w:szCs w:val="28"/>
        </w:rPr>
      </w:pPr>
      <w:r>
        <w:rPr>
          <w:rFonts w:hint="eastAsia" w:ascii="方正仿宋_GBK"/>
          <w:szCs w:val="28"/>
        </w:rPr>
        <w:t>乙 方：</w:t>
      </w:r>
    </w:p>
    <w:p w14:paraId="02D0A053">
      <w:pPr>
        <w:ind w:firstLine="560"/>
        <w:rPr>
          <w:rFonts w:ascii="方正仿宋_GBK"/>
          <w:szCs w:val="28"/>
        </w:rPr>
      </w:pPr>
      <w:r>
        <w:rPr>
          <w:rFonts w:hint="eastAsia" w:ascii="方正仿宋_GBK"/>
          <w:szCs w:val="28"/>
        </w:rPr>
        <w:t>联系人（经办人）：           职 务：</w:t>
      </w:r>
    </w:p>
    <w:p w14:paraId="18A333F9">
      <w:pPr>
        <w:ind w:firstLine="560"/>
        <w:rPr>
          <w:rFonts w:ascii="方正仿宋_GBK"/>
          <w:szCs w:val="28"/>
        </w:rPr>
      </w:pPr>
      <w:r>
        <w:rPr>
          <w:rFonts w:hint="eastAsia" w:ascii="方正仿宋_GBK"/>
          <w:szCs w:val="28"/>
        </w:rPr>
        <w:t xml:space="preserve">住所地：                            </w:t>
      </w:r>
    </w:p>
    <w:p w14:paraId="480D8431">
      <w:pPr>
        <w:ind w:firstLine="560"/>
        <w:rPr>
          <w:rFonts w:ascii="方正仿宋_GBK"/>
          <w:szCs w:val="28"/>
        </w:rPr>
      </w:pPr>
      <w:r>
        <w:rPr>
          <w:rFonts w:hint="eastAsia" w:ascii="方正仿宋_GBK"/>
          <w:szCs w:val="28"/>
        </w:rPr>
        <w:t>电 话：</w:t>
      </w:r>
    </w:p>
    <w:p w14:paraId="49952723">
      <w:pPr>
        <w:ind w:firstLine="560"/>
        <w:rPr>
          <w:rFonts w:ascii="方正仿宋_GBK"/>
          <w:szCs w:val="28"/>
        </w:rPr>
      </w:pPr>
      <w:r>
        <w:rPr>
          <w:rFonts w:hint="eastAsia" w:ascii="方正仿宋_GBK"/>
          <w:szCs w:val="28"/>
        </w:rPr>
        <w:t>QQ：                         邮 箱：</w:t>
      </w:r>
    </w:p>
    <w:p w14:paraId="7A0B53A9">
      <w:pPr>
        <w:ind w:firstLine="560"/>
        <w:rPr>
          <w:rFonts w:ascii="方正仿宋_GBK"/>
          <w:bCs/>
          <w:szCs w:val="28"/>
        </w:rPr>
      </w:pPr>
    </w:p>
    <w:p w14:paraId="1F957474">
      <w:pPr>
        <w:ind w:firstLine="560"/>
        <w:rPr>
          <w:rFonts w:ascii="方正仿宋_GBK"/>
          <w:szCs w:val="28"/>
        </w:rPr>
      </w:pPr>
      <w:r>
        <w:rPr>
          <w:rFonts w:hint="eastAsia" w:ascii="方正仿宋_GBK"/>
          <w:szCs w:val="28"/>
        </w:rPr>
        <w:t>甲乙双方依据《中华人民共和国民法典》《中华人民共和国</w:t>
      </w:r>
      <w:r>
        <w:rPr>
          <w:rFonts w:hint="eastAsia" w:ascii="方正仿宋_GBK"/>
          <w:szCs w:val="28"/>
          <w:lang w:eastAsia="zh-Hans"/>
        </w:rPr>
        <w:t>著作权</w:t>
      </w:r>
      <w:r>
        <w:rPr>
          <w:rFonts w:hint="eastAsia" w:ascii="方正仿宋_GBK"/>
          <w:szCs w:val="28"/>
        </w:rPr>
        <w:t>法》等有关法律法规，在平等自愿、友好协商的基础上，就甲方委托乙方为其提供xxxx项目系列三方账号运维及宣传推广</w:t>
      </w:r>
      <w:r>
        <w:rPr>
          <w:rFonts w:hint="eastAsia" w:ascii="方正仿宋_GBK"/>
          <w:szCs w:val="28"/>
          <w:lang w:eastAsia="zh-Hans"/>
        </w:rPr>
        <w:t>服务</w:t>
      </w:r>
      <w:r>
        <w:rPr>
          <w:rFonts w:hint="eastAsia" w:ascii="方正仿宋_GBK"/>
          <w:szCs w:val="28"/>
        </w:rPr>
        <w:t>，达成如下协议：</w:t>
      </w:r>
    </w:p>
    <w:p w14:paraId="43A15BEF">
      <w:pPr>
        <w:ind w:firstLine="562"/>
        <w:rPr>
          <w:rFonts w:ascii="方正仿宋_GBK"/>
          <w:b/>
          <w:bCs/>
          <w:szCs w:val="28"/>
        </w:rPr>
      </w:pPr>
      <w:r>
        <w:rPr>
          <w:rFonts w:hint="eastAsia" w:ascii="方正仿宋_GBK"/>
          <w:b/>
          <w:bCs/>
          <w:szCs w:val="28"/>
        </w:rPr>
        <w:t>一、合作内容</w:t>
      </w:r>
    </w:p>
    <w:p w14:paraId="2050B8D7">
      <w:pPr>
        <w:numPr>
          <w:ilvl w:val="0"/>
          <w:numId w:val="5"/>
        </w:numPr>
        <w:ind w:firstLine="560"/>
        <w:rPr>
          <w:rFonts w:ascii="方正仿宋_GBK" w:hAnsi="Times New Roman"/>
          <w:color w:val="auto"/>
          <w:szCs w:val="28"/>
        </w:rPr>
      </w:pPr>
      <w:r>
        <w:rPr>
          <w:rFonts w:hint="eastAsia" w:ascii="方正仿宋_GBK" w:hAnsi="Times New Roman"/>
          <w:color w:val="auto"/>
          <w:szCs w:val="28"/>
        </w:rPr>
        <w:t>视频选题策划服务</w:t>
      </w:r>
    </w:p>
    <w:p w14:paraId="53CFE1DA">
      <w:pPr>
        <w:ind w:firstLine="560"/>
        <w:rPr>
          <w:rFonts w:ascii="方正仿宋_GBK" w:hAnsi="Times New Roman"/>
          <w:color w:val="auto"/>
          <w:szCs w:val="28"/>
        </w:rPr>
      </w:pPr>
      <w:r>
        <w:rPr>
          <w:rFonts w:hint="eastAsia" w:ascii="方正仿宋_GBK" w:hAnsi="Times New Roman"/>
          <w:color w:val="auto"/>
          <w:szCs w:val="28"/>
        </w:rPr>
        <w:t>1. 选题内容：围绕自贡市参与的四川足球超级联赛（以下简称“川超”）赛事及自贡国投集团承办的相关其他教育体育赛事，以抖音视频平台账号运营为主、分发微信视频号，运营账号以自贡教体为主开展全周期选题创作，同时部分联动自贡国投集团矩阵账号（自贡国投/素墨文化/自贡灯会</w:t>
      </w:r>
      <w:r>
        <w:rPr>
          <w:rFonts w:hint="eastAsia" w:ascii="方正仿宋_GBK" w:hAnsi="Times New Roman"/>
          <w:color w:val="auto"/>
          <w:szCs w:val="28"/>
          <w:lang w:eastAsia="zh"/>
        </w:rPr>
        <w:t>等</w:t>
      </w:r>
      <w:r>
        <w:rPr>
          <w:rFonts w:hint="eastAsia" w:ascii="方正仿宋_GBK" w:hAnsi="Times New Roman"/>
          <w:color w:val="auto"/>
          <w:szCs w:val="28"/>
        </w:rPr>
        <w:t>）。选题需深度结合赛事进程、自贡主场场馆特色、球队风采、球员故事、球迷文化、赛事配套服务、自贡城市文旅资源联动等维度，打造系列化、有记忆点的定制化内容矩阵。</w:t>
      </w:r>
    </w:p>
    <w:p w14:paraId="6918488D">
      <w:pPr>
        <w:ind w:firstLine="560"/>
        <w:rPr>
          <w:rFonts w:ascii="方正仿宋_GBK" w:hAnsi="Times New Roman"/>
          <w:color w:val="auto"/>
          <w:szCs w:val="28"/>
        </w:rPr>
      </w:pPr>
      <w:r>
        <w:rPr>
          <w:rFonts w:hint="eastAsia" w:ascii="方正仿宋_GBK" w:hAnsi="Times New Roman"/>
          <w:color w:val="auto"/>
          <w:szCs w:val="28"/>
        </w:rPr>
        <w:t>2.执行要求：</w:t>
      </w:r>
    </w:p>
    <w:p w14:paraId="63A439B0">
      <w:pPr>
        <w:ind w:firstLine="560"/>
        <w:rPr>
          <w:rFonts w:ascii="方正仿宋_GBK" w:hAnsi="Times New Roman"/>
          <w:color w:val="auto"/>
          <w:szCs w:val="28"/>
        </w:rPr>
      </w:pPr>
      <w:r>
        <w:rPr>
          <w:rFonts w:hint="eastAsia" w:ascii="方正仿宋_GBK" w:hAnsi="Times New Roman"/>
          <w:color w:val="auto"/>
          <w:szCs w:val="28"/>
        </w:rPr>
        <w:t>需根据川超赛季赛程节点（赛前预热、赛中报道、赛后复盘、关键场次/德比战、节日赛事等）制定月度选题规划，确保内容节奏与赛事进程高度匹配；选题需突出自贡本土特色，融入自贡文旅IP、自贡国投集团品牌（如教体建设、灯会、盐文化等）与川超赛事的联动元素，打造差异化内容标签；所有选题需经甲方审核确认后方可执行，确保内容导向合规、贴合宣传目标。</w:t>
      </w:r>
    </w:p>
    <w:p w14:paraId="2E46076E">
      <w:pPr>
        <w:ind w:firstLine="560"/>
        <w:rPr>
          <w:rFonts w:ascii="方正仿宋_GBK" w:hAnsi="Times New Roman"/>
          <w:color w:val="auto"/>
          <w:szCs w:val="28"/>
        </w:rPr>
      </w:pPr>
      <w:r>
        <w:rPr>
          <w:rFonts w:hint="eastAsia" w:ascii="方正仿宋_GBK" w:hAnsi="Times New Roman"/>
          <w:color w:val="auto"/>
          <w:szCs w:val="28"/>
        </w:rPr>
        <w:t>交付数量：150条定制化选题。</w:t>
      </w:r>
    </w:p>
    <w:p w14:paraId="4F97CF6A">
      <w:pPr>
        <w:numPr>
          <w:ilvl w:val="0"/>
          <w:numId w:val="5"/>
        </w:numPr>
        <w:ind w:firstLine="560"/>
        <w:rPr>
          <w:rFonts w:ascii="方正仿宋_GBK" w:hAnsi="Times New Roman"/>
          <w:color w:val="auto"/>
          <w:szCs w:val="28"/>
        </w:rPr>
      </w:pPr>
      <w:r>
        <w:rPr>
          <w:rFonts w:hint="eastAsia" w:ascii="方正仿宋_GBK" w:hAnsi="Times New Roman"/>
          <w:color w:val="auto"/>
          <w:szCs w:val="28"/>
        </w:rPr>
        <w:t>视频素材收集服务</w:t>
      </w:r>
    </w:p>
    <w:p w14:paraId="0DFD0827">
      <w:pPr>
        <w:ind w:firstLine="560"/>
        <w:rPr>
          <w:rFonts w:ascii="方正仿宋_GBK" w:hAnsi="Times New Roman"/>
          <w:color w:val="auto"/>
          <w:szCs w:val="28"/>
        </w:rPr>
      </w:pPr>
      <w:r>
        <w:rPr>
          <w:rFonts w:hint="eastAsia" w:ascii="方正仿宋_GBK" w:hAnsi="Times New Roman"/>
          <w:color w:val="auto"/>
          <w:szCs w:val="28"/>
        </w:rPr>
        <w:t>1.服务内容：针对重大节假日、川超自贡主场活动及赛事开展现场拍摄，覆盖自贡主场赛事全程跟拍、赛前预热活动、赛后球员互动、球迷助威场景、场馆内外环境等素材采集，配备编导、演员、摄影师等专业团队完成拍摄工作，保障素材的完整性与时效性。</w:t>
      </w:r>
    </w:p>
    <w:p w14:paraId="3F2E7033">
      <w:pPr>
        <w:ind w:firstLine="560"/>
        <w:rPr>
          <w:rFonts w:ascii="方正仿宋_GBK" w:hAnsi="Times New Roman"/>
          <w:color w:val="auto"/>
          <w:szCs w:val="28"/>
        </w:rPr>
      </w:pPr>
      <w:r>
        <w:rPr>
          <w:rFonts w:hint="eastAsia" w:ascii="方正仿宋_GBK" w:hAnsi="Times New Roman"/>
          <w:color w:val="auto"/>
          <w:szCs w:val="28"/>
        </w:rPr>
        <w:t>2.执行要求：</w:t>
      </w:r>
    </w:p>
    <w:p w14:paraId="7393188F">
      <w:pPr>
        <w:ind w:firstLine="560"/>
        <w:rPr>
          <w:rFonts w:ascii="方正仿宋_GBK" w:hAnsi="Times New Roman"/>
          <w:color w:val="auto"/>
          <w:szCs w:val="28"/>
        </w:rPr>
      </w:pPr>
      <w:r>
        <w:rPr>
          <w:rFonts w:hint="eastAsia" w:ascii="方正仿宋_GBK" w:hAnsi="Times New Roman"/>
          <w:color w:val="auto"/>
          <w:szCs w:val="28"/>
        </w:rPr>
        <w:t>需针对甲方审核通过的选题，制定拍摄计划并完成现场跟拍，素材需包含1080P高清原片、多角度镜头（全景、中景、特写、慢动作等），覆盖赛事高光时刻、球员特写、球迷氛围、自贡主场特色场景等；重大节假日、关键场次赛事需安排双机位或多机位拍摄，确保素材无遗漏。</w:t>
      </w:r>
    </w:p>
    <w:p w14:paraId="6D222374">
      <w:pPr>
        <w:ind w:firstLine="560"/>
        <w:rPr>
          <w:rFonts w:ascii="方正仿宋_GBK" w:hAnsi="Times New Roman"/>
          <w:color w:val="auto"/>
          <w:szCs w:val="28"/>
        </w:rPr>
      </w:pPr>
      <w:r>
        <w:rPr>
          <w:rFonts w:hint="eastAsia" w:ascii="方正仿宋_GBK" w:hAnsi="Times New Roman"/>
          <w:color w:val="auto"/>
          <w:szCs w:val="28"/>
        </w:rPr>
        <w:t>交付数量：20次现场拍摄服务，每次拍摄需交付完整素材包。</w:t>
      </w:r>
    </w:p>
    <w:p w14:paraId="51B6FC92">
      <w:pPr>
        <w:numPr>
          <w:ilvl w:val="0"/>
          <w:numId w:val="5"/>
        </w:numPr>
        <w:ind w:firstLine="560"/>
        <w:rPr>
          <w:rFonts w:ascii="方正仿宋_GBK" w:hAnsi="Times New Roman"/>
          <w:color w:val="auto"/>
          <w:szCs w:val="28"/>
        </w:rPr>
      </w:pPr>
      <w:r>
        <w:rPr>
          <w:rFonts w:hint="eastAsia" w:ascii="方正仿宋_GBK" w:hAnsi="Times New Roman"/>
          <w:color w:val="auto"/>
          <w:szCs w:val="28"/>
        </w:rPr>
        <w:t>视频剪辑制作服务</w:t>
      </w:r>
    </w:p>
    <w:p w14:paraId="74044860">
      <w:pPr>
        <w:ind w:firstLine="560"/>
        <w:rPr>
          <w:rFonts w:ascii="方正仿宋_GBK" w:hAnsi="Times New Roman"/>
          <w:color w:val="auto"/>
          <w:szCs w:val="28"/>
        </w:rPr>
      </w:pPr>
      <w:r>
        <w:rPr>
          <w:rFonts w:hint="eastAsia" w:ascii="方正仿宋_GBK" w:hAnsi="Times New Roman"/>
          <w:color w:val="auto"/>
          <w:szCs w:val="28"/>
        </w:rPr>
        <w:t>1.服务内容：基于视频选题，对川超自贡相关视频、自贡国投集团其他体育赛事等素材进行创意剪辑、包装制作，包括但不限于高光集锦、球员故事、赛事花絮、文旅联动短片等，通过后期制作提升内容传播力。</w:t>
      </w:r>
    </w:p>
    <w:p w14:paraId="635974D2">
      <w:pPr>
        <w:ind w:firstLine="560"/>
        <w:rPr>
          <w:rFonts w:ascii="方正仿宋_GBK" w:hAnsi="Times New Roman"/>
          <w:color w:val="auto"/>
          <w:szCs w:val="28"/>
        </w:rPr>
      </w:pPr>
      <w:r>
        <w:rPr>
          <w:rFonts w:hint="eastAsia" w:ascii="方正仿宋_GBK" w:hAnsi="Times New Roman"/>
          <w:color w:val="auto"/>
          <w:szCs w:val="28"/>
        </w:rPr>
        <w:t>2.执行要求：</w:t>
      </w:r>
    </w:p>
    <w:p w14:paraId="79E3967E">
      <w:pPr>
        <w:ind w:firstLine="560"/>
        <w:rPr>
          <w:rFonts w:ascii="方正仿宋_GBK" w:hAnsi="Times New Roman"/>
          <w:color w:val="auto"/>
          <w:szCs w:val="28"/>
        </w:rPr>
      </w:pPr>
      <w:r>
        <w:rPr>
          <w:rFonts w:hint="eastAsia" w:ascii="方正仿宋_GBK" w:hAnsi="Times New Roman"/>
          <w:color w:val="auto"/>
          <w:szCs w:val="28"/>
        </w:rPr>
        <w:t>剪辑制作需包含字体设计、版权音乐适配、画面调色、转场特效、字幕包装、LOGO植入等全流程服务，风格需适配抖音、视频号等平台传播特性，兼顾赛事的热血氛围与自贡本土特色；每条视频需提供不少于3次修改机会，根据甲方反馈调整剪辑节奏、内容呈现、包装风格，直至审核通过；所有使用的音乐、字体、素材需确保版权合规，不得侵犯第三方知识产权；</w:t>
      </w:r>
    </w:p>
    <w:p w14:paraId="2B1169CB">
      <w:pPr>
        <w:ind w:firstLine="560"/>
        <w:rPr>
          <w:rFonts w:ascii="方正仿宋_GBK" w:hAnsi="Times New Roman"/>
          <w:color w:val="auto"/>
          <w:szCs w:val="28"/>
        </w:rPr>
      </w:pPr>
      <w:r>
        <w:rPr>
          <w:rFonts w:hint="eastAsia" w:ascii="方正仿宋_GBK" w:hAnsi="Times New Roman"/>
          <w:color w:val="auto"/>
          <w:szCs w:val="28"/>
        </w:rPr>
        <w:t>交付数量：150条成片视频，每条视频不低于10S。</w:t>
      </w:r>
    </w:p>
    <w:p w14:paraId="56145AB3">
      <w:pPr>
        <w:numPr>
          <w:ilvl w:val="0"/>
          <w:numId w:val="5"/>
        </w:numPr>
        <w:ind w:firstLine="560"/>
        <w:rPr>
          <w:rFonts w:ascii="方正仿宋_GBK" w:hAnsi="Times New Roman"/>
          <w:color w:val="auto"/>
          <w:szCs w:val="28"/>
        </w:rPr>
      </w:pPr>
      <w:r>
        <w:rPr>
          <w:rFonts w:hint="eastAsia" w:ascii="方正仿宋_GBK" w:hAnsi="Times New Roman"/>
          <w:color w:val="auto"/>
          <w:szCs w:val="28"/>
        </w:rPr>
        <w:t>内容推广服务</w:t>
      </w:r>
    </w:p>
    <w:p w14:paraId="65E86994">
      <w:pPr>
        <w:ind w:firstLine="560"/>
        <w:rPr>
          <w:rFonts w:ascii="方正仿宋_GBK" w:hAnsi="Times New Roman"/>
          <w:color w:val="auto"/>
          <w:szCs w:val="28"/>
        </w:rPr>
      </w:pPr>
      <w:r>
        <w:rPr>
          <w:rFonts w:hint="eastAsia" w:ascii="方正仿宋_GBK" w:hAnsi="Times New Roman"/>
          <w:color w:val="auto"/>
          <w:szCs w:val="28"/>
        </w:rPr>
        <w:t>1.服务内容：通过抖加精细化投放、平台流量运营等方式，为川超自贡相关短视频提供推广服务，打造爆款内容，实现既定KPI考核目标，提升自贡川超相关内容的曝光量、互动量与账号粉丝量。</w:t>
      </w:r>
    </w:p>
    <w:p w14:paraId="202749D4">
      <w:pPr>
        <w:ind w:firstLine="560"/>
        <w:rPr>
          <w:rFonts w:ascii="方正仿宋_GBK" w:hAnsi="Times New Roman"/>
          <w:color w:val="auto"/>
          <w:szCs w:val="28"/>
        </w:rPr>
      </w:pPr>
      <w:r>
        <w:rPr>
          <w:rFonts w:hint="eastAsia" w:ascii="方正仿宋_GBK" w:hAnsi="Times New Roman"/>
          <w:color w:val="auto"/>
          <w:szCs w:val="28"/>
        </w:rPr>
        <w:t>2.执行要求：</w:t>
      </w:r>
    </w:p>
    <w:p w14:paraId="1E48158C">
      <w:pPr>
        <w:ind w:firstLine="560"/>
        <w:rPr>
          <w:rFonts w:ascii="方正仿宋_GBK" w:hAnsi="Times New Roman"/>
          <w:color w:val="auto"/>
          <w:szCs w:val="28"/>
        </w:rPr>
      </w:pPr>
      <w:r>
        <w:rPr>
          <w:rFonts w:hint="eastAsia" w:ascii="方正仿宋_GBK" w:hAnsi="Times New Roman"/>
          <w:color w:val="auto"/>
          <w:szCs w:val="28"/>
        </w:rPr>
        <w:t>针对重点内容进行精准投放，优先推广自贡主场赛事高光、文旅联动等特色内容；需达成以下核心KPI：在抖音平台自贡教体账号上打造点赞量不低于5万的爆款视频不少于1条，点赞量不低于1万的优质视频不少于5条，服务期内抖音平台自贡教体账号粉丝数量达到5万；</w:t>
      </w:r>
    </w:p>
    <w:p w14:paraId="4E6F52EE">
      <w:pPr>
        <w:pStyle w:val="8"/>
        <w:numPr>
          <w:ilvl w:val="0"/>
          <w:numId w:val="5"/>
        </w:numPr>
        <w:spacing w:after="0"/>
        <w:ind w:firstLine="560"/>
        <w:rPr>
          <w:rFonts w:ascii="方正仿宋_GBK" w:hAnsi="Times New Roman"/>
          <w:color w:val="auto"/>
          <w:szCs w:val="28"/>
        </w:rPr>
      </w:pPr>
      <w:r>
        <w:rPr>
          <w:rFonts w:hint="eastAsia" w:ascii="方正仿宋_GBK" w:hAnsi="Times New Roman"/>
          <w:color w:val="auto"/>
          <w:szCs w:val="28"/>
        </w:rPr>
        <w:t>团队服务</w:t>
      </w:r>
    </w:p>
    <w:p w14:paraId="1FCD61B5">
      <w:pPr>
        <w:ind w:firstLine="560"/>
        <w:rPr>
          <w:rFonts w:ascii="方正仿宋_GBK" w:hAnsi="仿宋_GB2312" w:cs="仿宋_GB2312"/>
          <w:szCs w:val="28"/>
        </w:rPr>
      </w:pPr>
      <w:r>
        <w:rPr>
          <w:rFonts w:hint="eastAsia" w:ascii="方正仿宋_GBK" w:hAnsi="仿宋_GB2312" w:cs="仿宋_GB2312"/>
          <w:szCs w:val="28"/>
        </w:rPr>
        <w:t>成交供应商具备专业团队服务此项目，团队人数不少于4人，至少配备一名无人机飞手，一名后期剪辑、一名编导、一名摄像，及时完成运营内容的生成和响应采购人需求，未经采购人允许，不得随意变更团队进行中的人员配置。</w:t>
      </w:r>
    </w:p>
    <w:p w14:paraId="252A3027">
      <w:pPr>
        <w:ind w:firstLine="560"/>
        <w:rPr>
          <w:rStyle w:val="24"/>
          <w:rFonts w:ascii="方正仿宋_GBK"/>
          <w:sz w:val="28"/>
          <w:szCs w:val="28"/>
        </w:rPr>
      </w:pPr>
      <w:r>
        <w:rPr>
          <w:rFonts w:hint="eastAsia" w:ascii="方正仿宋_GBK"/>
          <w:szCs w:val="28"/>
        </w:rPr>
        <w:t>（二）合作时间</w:t>
      </w:r>
    </w:p>
    <w:p w14:paraId="56080F9F">
      <w:pPr>
        <w:ind w:firstLine="560"/>
        <w:rPr>
          <w:rFonts w:ascii="方正仿宋_GBK" w:hAnsi="仿宋_GB2312" w:cs="仿宋_GB2312"/>
          <w:szCs w:val="28"/>
        </w:rPr>
      </w:pPr>
      <w:r>
        <w:rPr>
          <w:rFonts w:hint="eastAsia" w:ascii="方正仿宋_GBK" w:hAnsi="仿宋_GB2312" w:cs="仿宋_GB2312"/>
          <w:szCs w:val="28"/>
        </w:rPr>
        <w:t>服务期限：自合同签订之日起至采购人书面通知供应商全套移交宣传资料和宣传效果报告并经采购人最终验收合格出具书面验收合格报告止。具体每项服务的期限以甲乙双方友好协商确定为准</w:t>
      </w:r>
    </w:p>
    <w:p w14:paraId="0E4C1B22">
      <w:pPr>
        <w:ind w:firstLine="562"/>
        <w:rPr>
          <w:rFonts w:ascii="方正仿宋_GBK"/>
          <w:b/>
          <w:bCs/>
          <w:szCs w:val="28"/>
        </w:rPr>
      </w:pPr>
      <w:r>
        <w:rPr>
          <w:rFonts w:hint="eastAsia" w:ascii="方正仿宋_GBK"/>
          <w:b/>
          <w:bCs/>
          <w:szCs w:val="28"/>
        </w:rPr>
        <w:t>二、服务费及支付方式</w:t>
      </w:r>
    </w:p>
    <w:p w14:paraId="18B9AF10">
      <w:pPr>
        <w:ind w:firstLine="562"/>
        <w:rPr>
          <w:rFonts w:ascii="方正仿宋_GBK"/>
          <w:b/>
          <w:szCs w:val="28"/>
        </w:rPr>
      </w:pPr>
      <w:r>
        <w:rPr>
          <w:rFonts w:hint="eastAsia" w:ascii="方正仿宋_GBK"/>
          <w:b/>
          <w:szCs w:val="28"/>
        </w:rPr>
        <w:t>（一）服务费</w:t>
      </w:r>
    </w:p>
    <w:p w14:paraId="267DA5C5">
      <w:pPr>
        <w:ind w:firstLine="560"/>
        <w:rPr>
          <w:rFonts w:ascii="方正仿宋_GBK"/>
          <w:szCs w:val="28"/>
        </w:rPr>
      </w:pPr>
      <w:r>
        <w:rPr>
          <w:rFonts w:hint="eastAsia" w:ascii="方正仿宋_GBK"/>
          <w:bCs/>
          <w:szCs w:val="28"/>
        </w:rPr>
        <w:t xml:space="preserve"> 甲方应向乙方支</w:t>
      </w:r>
      <w:r>
        <w:rPr>
          <w:rFonts w:hint="eastAsia" w:ascii="方正仿宋_GBK"/>
          <w:szCs w:val="28"/>
        </w:rPr>
        <w:t>付服务费合计</w:t>
      </w:r>
      <w:r>
        <w:rPr>
          <w:rFonts w:hint="eastAsia" w:ascii="方正仿宋_GBK"/>
          <w:szCs w:val="28"/>
          <w:u w:val="single"/>
        </w:rPr>
        <w:t xml:space="preserve">    </w:t>
      </w:r>
      <w:r>
        <w:rPr>
          <w:rFonts w:hint="eastAsia" w:ascii="方正仿宋_GBK"/>
          <w:szCs w:val="28"/>
        </w:rPr>
        <w:t>元（大写：</w:t>
      </w:r>
      <w:r>
        <w:rPr>
          <w:rFonts w:hint="eastAsia" w:ascii="方正仿宋_GBK"/>
          <w:szCs w:val="28"/>
          <w:u w:val="single"/>
        </w:rPr>
        <w:t xml:space="preserve">       </w:t>
      </w:r>
      <w:r>
        <w:rPr>
          <w:rFonts w:hint="eastAsia" w:ascii="方正仿宋_GBK"/>
          <w:szCs w:val="28"/>
        </w:rPr>
        <w:t>）（含税，税率   %）。</w:t>
      </w:r>
    </w:p>
    <w:p w14:paraId="3D4D4FCE">
      <w:pPr>
        <w:ind w:firstLine="562"/>
        <w:rPr>
          <w:rFonts w:ascii="方正仿宋_GBK"/>
          <w:b/>
          <w:szCs w:val="28"/>
        </w:rPr>
      </w:pPr>
      <w:r>
        <w:rPr>
          <w:rFonts w:hint="eastAsia" w:ascii="方正仿宋_GBK"/>
          <w:b/>
          <w:szCs w:val="28"/>
        </w:rPr>
        <w:t>（二）支付时间</w:t>
      </w:r>
    </w:p>
    <w:p w14:paraId="59FB787D">
      <w:pPr>
        <w:pStyle w:val="8"/>
        <w:tabs>
          <w:tab w:val="left" w:pos="0"/>
        </w:tabs>
        <w:spacing w:after="0"/>
        <w:ind w:firstLine="560"/>
        <w:rPr>
          <w:rFonts w:ascii="方正仿宋_GBK" w:hAnsi="仿宋_GB2312" w:cs="仿宋_GB2312"/>
          <w:szCs w:val="28"/>
        </w:rPr>
      </w:pPr>
      <w:r>
        <w:rPr>
          <w:rFonts w:hint="eastAsia" w:ascii="方正仿宋_GBK" w:hAnsi="仿宋_GB2312" w:cs="仿宋_GB2312"/>
          <w:szCs w:val="28"/>
        </w:rPr>
        <w:t>合同签订后，甲方在收到乙方正式合法有效发票后10个工作日内向乙方支付本合同总金额的20%作为预付款；2025\2026川超决赛阶段结束后，甲方在收到乙方正式合法有效发票后10个工作日内支付本合同总金额的50%；服务结束后，乙方向甲方全套移交宣传资料和宣传效果评估报告并经甲方最终验收合格，甲方在收到乙方正式合法有效发票后10个工作日内支付剩余30%的尾款。付款前，乙方需向甲方出具相应金额增值税专用发票及付款资料，甲方在收到乙方相应金额增值税专用发票及付款资料后支付款项。乙方不按照约定出具发票的，甲方有权不予付款且不承担相应的违约责任。</w:t>
      </w:r>
    </w:p>
    <w:p w14:paraId="1F4A2768">
      <w:pPr>
        <w:ind w:firstLine="562"/>
        <w:rPr>
          <w:rFonts w:ascii="方正仿宋_GBK"/>
          <w:bCs/>
          <w:szCs w:val="28"/>
        </w:rPr>
      </w:pPr>
      <w:r>
        <w:rPr>
          <w:rFonts w:hint="eastAsia" w:ascii="方正仿宋_GBK"/>
          <w:b/>
          <w:bCs/>
          <w:szCs w:val="28"/>
        </w:rPr>
        <w:t>（三）支付方式</w:t>
      </w:r>
    </w:p>
    <w:p w14:paraId="7AD68C02">
      <w:pPr>
        <w:ind w:firstLine="560"/>
        <w:rPr>
          <w:rFonts w:ascii="方正仿宋_GBK"/>
          <w:szCs w:val="28"/>
        </w:rPr>
      </w:pPr>
      <w:r>
        <w:rPr>
          <w:rFonts w:hint="eastAsia" w:ascii="方正仿宋_GBK"/>
          <w:szCs w:val="28"/>
        </w:rPr>
        <w:t>本协议所涉款项均采用转账付款，乙方指定的收款账户信息为：</w:t>
      </w:r>
    </w:p>
    <w:p w14:paraId="13C610A8">
      <w:pPr>
        <w:ind w:firstLine="560"/>
        <w:rPr>
          <w:rFonts w:ascii="方正仿宋_GBK"/>
          <w:szCs w:val="28"/>
        </w:rPr>
      </w:pPr>
      <w:r>
        <w:rPr>
          <w:rFonts w:hint="eastAsia" w:ascii="方正仿宋_GBK"/>
          <w:szCs w:val="28"/>
        </w:rPr>
        <w:t>公司名称：</w:t>
      </w:r>
    </w:p>
    <w:p w14:paraId="3079AE1C">
      <w:pPr>
        <w:ind w:firstLine="560"/>
        <w:rPr>
          <w:rFonts w:ascii="方正仿宋_GBK"/>
          <w:szCs w:val="28"/>
        </w:rPr>
      </w:pPr>
      <w:r>
        <w:rPr>
          <w:rFonts w:hint="eastAsia" w:ascii="方正仿宋_GBK"/>
          <w:szCs w:val="28"/>
        </w:rPr>
        <w:t>账    号：</w:t>
      </w:r>
    </w:p>
    <w:p w14:paraId="47194109">
      <w:pPr>
        <w:ind w:firstLine="560"/>
        <w:rPr>
          <w:rFonts w:ascii="方正仿宋_GBK"/>
          <w:b/>
          <w:bCs/>
          <w:szCs w:val="28"/>
        </w:rPr>
      </w:pPr>
      <w:r>
        <w:rPr>
          <w:rFonts w:hint="eastAsia" w:ascii="方正仿宋_GBK"/>
          <w:szCs w:val="28"/>
        </w:rPr>
        <w:t>开户银行：</w:t>
      </w:r>
    </w:p>
    <w:p w14:paraId="2EE0E072">
      <w:pPr>
        <w:ind w:firstLine="562"/>
        <w:rPr>
          <w:rFonts w:ascii="方正仿宋_GBK"/>
          <w:b/>
          <w:bCs/>
          <w:szCs w:val="28"/>
        </w:rPr>
      </w:pPr>
      <w:r>
        <w:rPr>
          <w:rFonts w:hint="eastAsia" w:ascii="方正仿宋_GBK"/>
          <w:b/>
          <w:bCs/>
          <w:szCs w:val="28"/>
        </w:rPr>
        <w:t>三、甲方的权利义务</w:t>
      </w:r>
    </w:p>
    <w:p w14:paraId="040F37A8">
      <w:pPr>
        <w:ind w:firstLine="560"/>
        <w:rPr>
          <w:rFonts w:ascii="方正仿宋_GBK"/>
          <w:szCs w:val="28"/>
        </w:rPr>
      </w:pPr>
      <w:r>
        <w:rPr>
          <w:rFonts w:hint="eastAsia" w:ascii="方正仿宋_GBK"/>
          <w:szCs w:val="28"/>
        </w:rPr>
        <w:t>（一）甲方有权要求乙方按照本协议约定提供三方账号运维及宣传推广服务。</w:t>
      </w:r>
    </w:p>
    <w:p w14:paraId="56D6CB06">
      <w:pPr>
        <w:ind w:firstLine="420" w:firstLineChars="150"/>
        <w:rPr>
          <w:rFonts w:ascii="方正仿宋_GBK" w:hAnsi="仿宋_GB2312"/>
          <w:szCs w:val="28"/>
        </w:rPr>
      </w:pPr>
      <w:r>
        <w:rPr>
          <w:rFonts w:hint="eastAsia" w:ascii="方正仿宋_GBK"/>
          <w:szCs w:val="28"/>
        </w:rPr>
        <w:t>（二）</w:t>
      </w:r>
      <w:r>
        <w:rPr>
          <w:rFonts w:hint="eastAsia" w:ascii="方正仿宋_GBK" w:hAnsi="仿宋_GB2312"/>
          <w:szCs w:val="28"/>
        </w:rPr>
        <w:t>甲方应按照本协议约定向乙方支付服务费共计</w:t>
      </w:r>
      <w:r>
        <w:rPr>
          <w:rFonts w:hint="eastAsia" w:ascii="方正仿宋_GBK" w:hAnsi="仿宋_GB2312"/>
          <w:szCs w:val="28"/>
          <w:u w:val="single"/>
        </w:rPr>
        <w:t xml:space="preserve">      </w:t>
      </w:r>
      <w:r>
        <w:rPr>
          <w:rFonts w:hint="eastAsia" w:ascii="方正仿宋_GBK" w:hAnsi="仿宋_GB2312"/>
          <w:szCs w:val="28"/>
        </w:rPr>
        <w:t>元（大写：</w:t>
      </w:r>
      <w:r>
        <w:rPr>
          <w:rFonts w:hint="eastAsia" w:ascii="方正仿宋_GBK" w:hAnsi="仿宋_GB2312"/>
          <w:szCs w:val="28"/>
          <w:u w:val="single"/>
        </w:rPr>
        <w:t xml:space="preserve">      </w:t>
      </w:r>
      <w:r>
        <w:rPr>
          <w:rFonts w:hint="eastAsia" w:ascii="方正仿宋_GBK" w:hAnsi="仿宋_GB2312"/>
          <w:szCs w:val="28"/>
        </w:rPr>
        <w:t xml:space="preserve">  ）。</w:t>
      </w:r>
    </w:p>
    <w:p w14:paraId="0937785B">
      <w:pPr>
        <w:ind w:firstLine="420" w:firstLineChars="150"/>
        <w:rPr>
          <w:rFonts w:ascii="方正仿宋_GBK" w:hAnsi="仿宋_GB2312"/>
          <w:szCs w:val="28"/>
        </w:rPr>
      </w:pPr>
      <w:r>
        <w:rPr>
          <w:rFonts w:hint="eastAsia" w:ascii="方正仿宋_GBK" w:hAnsi="仿宋_GB2312"/>
          <w:szCs w:val="28"/>
        </w:rPr>
        <w:t>（三）甲方有权对乙方服务质量进行考核，并与服务费支付进度和金额挂钩。</w:t>
      </w:r>
    </w:p>
    <w:p w14:paraId="3010E000">
      <w:pPr>
        <w:ind w:firstLine="420" w:firstLineChars="150"/>
        <w:rPr>
          <w:rFonts w:ascii="方正仿宋_GBK" w:hAnsi="仿宋_GB2312"/>
          <w:szCs w:val="28"/>
        </w:rPr>
      </w:pPr>
      <w:r>
        <w:rPr>
          <w:rFonts w:hint="eastAsia" w:ascii="方正仿宋_GBK" w:hAnsi="仿宋_GB2312"/>
          <w:szCs w:val="28"/>
        </w:rPr>
        <w:t>（四）对于乙方提交的运维文案、长图、视频等内容甲方有权要求乙方进行修改，乙方应当予以配合修改直至符合甲方要求。但</w:t>
      </w:r>
      <w:r>
        <w:rPr>
          <w:rFonts w:hint="eastAsia" w:ascii="方正仿宋_GBK"/>
          <w:szCs w:val="28"/>
        </w:rPr>
        <w:t>甲方审核并不免除、减轻乙方的责任。</w:t>
      </w:r>
    </w:p>
    <w:p w14:paraId="126E2889">
      <w:pPr>
        <w:ind w:firstLine="562"/>
        <w:rPr>
          <w:rFonts w:ascii="方正仿宋_GBK"/>
          <w:b/>
          <w:bCs/>
          <w:szCs w:val="28"/>
        </w:rPr>
      </w:pPr>
      <w:r>
        <w:rPr>
          <w:rFonts w:hint="eastAsia" w:ascii="方正仿宋_GBK"/>
          <w:b/>
          <w:bCs/>
          <w:szCs w:val="28"/>
        </w:rPr>
        <w:t>四、乙方的权利义务</w:t>
      </w:r>
    </w:p>
    <w:p w14:paraId="2715BCA7">
      <w:pPr>
        <w:ind w:firstLine="420" w:firstLineChars="150"/>
        <w:rPr>
          <w:rFonts w:ascii="方正仿宋_GBK"/>
          <w:szCs w:val="28"/>
        </w:rPr>
      </w:pPr>
      <w:r>
        <w:rPr>
          <w:rFonts w:hint="eastAsia" w:ascii="方正仿宋_GBK"/>
          <w:szCs w:val="28"/>
        </w:rPr>
        <w:t>（一）乙方保证其具有接受甲方委托提供三方账号运维服务的相关业务资质和经营范围，并严格按照</w:t>
      </w:r>
      <w:r>
        <w:rPr>
          <w:rFonts w:hint="eastAsia" w:ascii="方正仿宋_GBK"/>
          <w:szCs w:val="28"/>
          <w:lang w:eastAsia="zh-Hans"/>
        </w:rPr>
        <w:t>相关</w:t>
      </w:r>
      <w:r>
        <w:rPr>
          <w:rFonts w:hint="eastAsia" w:ascii="方正仿宋_GBK"/>
          <w:szCs w:val="28"/>
        </w:rPr>
        <w:t>法律法规的规定提供三方账号运维服务。</w:t>
      </w:r>
    </w:p>
    <w:p w14:paraId="07F324F1">
      <w:pPr>
        <w:ind w:firstLine="420" w:firstLineChars="150"/>
        <w:rPr>
          <w:rFonts w:ascii="方正仿宋_GBK"/>
          <w:szCs w:val="28"/>
        </w:rPr>
      </w:pPr>
      <w:r>
        <w:rPr>
          <w:rFonts w:hint="eastAsia" w:ascii="方正仿宋_GBK"/>
          <w:szCs w:val="28"/>
        </w:rPr>
        <w:t>（二）乙方应当对甲方提供的素材进行审查，对于不符合相关法律、行政法规、政策的素材内容和表现形式，乙方应当于收到甲方素材后3日内通知甲方做出修改，否则乙方应当承担任何由该内容和信息引起之争议以及法律责任。</w:t>
      </w:r>
    </w:p>
    <w:p w14:paraId="15DCF5F7">
      <w:pPr>
        <w:ind w:firstLine="420" w:firstLineChars="150"/>
        <w:rPr>
          <w:rFonts w:ascii="方正仿宋_GBK"/>
          <w:szCs w:val="28"/>
        </w:rPr>
      </w:pPr>
      <w:r>
        <w:rPr>
          <w:rFonts w:hint="eastAsia" w:ascii="方正仿宋_GBK"/>
          <w:szCs w:val="28"/>
        </w:rPr>
        <w:t>（三）乙方按照双方确定的方案执行项目，在项目执行过程中，乙方将根据甲方提出的意见和要求，及时做出调整、修改，直至甲方认可为止。</w:t>
      </w:r>
    </w:p>
    <w:p w14:paraId="58D4B1FC">
      <w:pPr>
        <w:ind w:firstLine="420" w:firstLineChars="150"/>
        <w:rPr>
          <w:rFonts w:ascii="方正仿宋_GBK"/>
          <w:szCs w:val="28"/>
        </w:rPr>
      </w:pPr>
      <w:r>
        <w:rPr>
          <w:rFonts w:hint="eastAsia" w:ascii="方正仿宋_GBK"/>
          <w:szCs w:val="28"/>
        </w:rPr>
        <w:t>（四）乙方应在服务过程中接受甲方考核 。乙方应在甲方通知进行考核后3日内向甲方提交工作进度及成果报告。</w:t>
      </w:r>
    </w:p>
    <w:p w14:paraId="72BD05A8">
      <w:pPr>
        <w:pStyle w:val="8"/>
        <w:spacing w:after="0"/>
        <w:ind w:firstLine="560"/>
        <w:rPr>
          <w:rFonts w:ascii="方正仿宋_GBK"/>
          <w:szCs w:val="28"/>
        </w:rPr>
      </w:pPr>
      <w:r>
        <w:rPr>
          <w:rFonts w:hint="eastAsia" w:ascii="方正仿宋_GBK"/>
          <w:szCs w:val="28"/>
        </w:rPr>
        <w:t>（五）乙方提供的服务未达到合同约定的要求或出现纠纷，由乙方承担一切责任，并赔偿所造成的损失。若对甲方造成损失的，由乙方赔偿甲方所有损失。</w:t>
      </w:r>
    </w:p>
    <w:p w14:paraId="588EFA90">
      <w:pPr>
        <w:pStyle w:val="17"/>
        <w:spacing w:after="0"/>
        <w:ind w:firstLine="560" w:firstLineChars="200"/>
        <w:rPr>
          <w:rFonts w:ascii="方正仿宋_GBK"/>
          <w:szCs w:val="28"/>
        </w:rPr>
      </w:pPr>
      <w:r>
        <w:rPr>
          <w:rFonts w:hint="eastAsia" w:ascii="方正仿宋_GBK"/>
          <w:szCs w:val="28"/>
        </w:rPr>
        <w:t>（六）乙方严格审核网络达人需发布的视频内容，确保无意识形态、价值观导向等相关问题，一旦出现网络舆情等负面问题，</w:t>
      </w:r>
      <w:r>
        <w:rPr>
          <w:rFonts w:hint="eastAsia" w:ascii="方正仿宋_GBK"/>
          <w:szCs w:val="28"/>
          <w:lang w:eastAsia="zh-CN"/>
        </w:rPr>
        <w:t>应在</w:t>
      </w:r>
      <w:r>
        <w:rPr>
          <w:rFonts w:hint="eastAsia" w:ascii="方正仿宋_GBK"/>
          <w:szCs w:val="28"/>
        </w:rPr>
        <w:t>2小时内协调处理，初审合格后由甲方复审通过后，方可发布。甲方审核并不免除、减轻乙方的责任。</w:t>
      </w:r>
    </w:p>
    <w:p w14:paraId="002F3BF6">
      <w:pPr>
        <w:pStyle w:val="17"/>
        <w:spacing w:after="0"/>
        <w:ind w:firstLine="560" w:firstLineChars="200"/>
        <w:rPr>
          <w:rFonts w:ascii="方正仿宋_GBK"/>
          <w:szCs w:val="28"/>
        </w:rPr>
      </w:pPr>
      <w:r>
        <w:rPr>
          <w:rFonts w:hint="eastAsia" w:ascii="方正仿宋_GBK"/>
          <w:szCs w:val="28"/>
        </w:rPr>
        <w:t>（七）乙方所有拟发布内容需提前提交甲方审核确认，经甲方同意后方可发布；发布后需及时监测并回复网络互动信息，主动做好舆论正面引导，维护良好品牌形象。甲方审核并不免除、减轻乙方的责任。</w:t>
      </w:r>
    </w:p>
    <w:p w14:paraId="2F1BF115">
      <w:pPr>
        <w:pStyle w:val="17"/>
        <w:spacing w:after="0"/>
        <w:ind w:firstLine="560" w:firstLineChars="200"/>
        <w:rPr>
          <w:rFonts w:ascii="方正仿宋_GBK"/>
          <w:szCs w:val="28"/>
        </w:rPr>
      </w:pPr>
      <w:r>
        <w:rPr>
          <w:rFonts w:hint="eastAsia" w:ascii="方正仿宋_GBK"/>
          <w:szCs w:val="28"/>
        </w:rPr>
        <w:t>（八）乙方需认真筛选优质的、符合要求的摄影网络名人及主播，确保其本人本身无违法违规行为，无意识形态问题，形象正面、积极。邀请的摄影网络名人及主播名单需报甲方甄选，直至甲方认可同意为止。</w:t>
      </w:r>
    </w:p>
    <w:p w14:paraId="5DFC8C9E">
      <w:pPr>
        <w:ind w:firstLine="420" w:firstLineChars="150"/>
        <w:rPr>
          <w:rFonts w:ascii="方正仿宋_GBK" w:hAnsi="仿宋_GB2312"/>
          <w:szCs w:val="28"/>
        </w:rPr>
      </w:pPr>
      <w:r>
        <w:rPr>
          <w:rFonts w:hint="eastAsia" w:ascii="方正仿宋_GBK"/>
          <w:szCs w:val="28"/>
        </w:rPr>
        <w:t>（九）乙方有权要求甲方按照本协议的约定支付</w:t>
      </w:r>
      <w:r>
        <w:rPr>
          <w:rFonts w:hint="eastAsia" w:ascii="方正仿宋_GBK" w:hAnsi="仿宋_GB2312"/>
          <w:szCs w:val="28"/>
        </w:rPr>
        <w:t>服务费共计</w:t>
      </w:r>
      <w:r>
        <w:rPr>
          <w:rFonts w:hint="eastAsia" w:ascii="方正仿宋_GBK" w:hAnsi="仿宋_GB2312"/>
          <w:szCs w:val="28"/>
          <w:u w:val="single"/>
        </w:rPr>
        <w:t xml:space="preserve">      </w:t>
      </w:r>
      <w:r>
        <w:rPr>
          <w:rFonts w:hint="eastAsia" w:ascii="方正仿宋_GBK" w:hAnsi="仿宋_GB2312"/>
          <w:szCs w:val="28"/>
        </w:rPr>
        <w:t>元（大写：</w:t>
      </w:r>
      <w:r>
        <w:rPr>
          <w:rFonts w:hint="eastAsia" w:ascii="方正仿宋_GBK" w:hAnsi="仿宋_GB2312"/>
          <w:szCs w:val="28"/>
          <w:u w:val="single"/>
        </w:rPr>
        <w:t xml:space="preserve">      </w:t>
      </w:r>
      <w:r>
        <w:rPr>
          <w:rFonts w:hint="eastAsia" w:ascii="方正仿宋_GBK" w:hAnsi="仿宋_GB2312"/>
          <w:szCs w:val="28"/>
        </w:rPr>
        <w:t xml:space="preserve">  ）。</w:t>
      </w:r>
    </w:p>
    <w:p w14:paraId="3CAB7765">
      <w:pPr>
        <w:ind w:firstLine="562"/>
        <w:rPr>
          <w:rFonts w:ascii="方正仿宋_GBK"/>
          <w:b/>
          <w:bCs/>
          <w:szCs w:val="28"/>
        </w:rPr>
      </w:pPr>
      <w:r>
        <w:rPr>
          <w:rFonts w:hint="eastAsia" w:ascii="方正仿宋_GBK"/>
          <w:b/>
          <w:bCs/>
          <w:szCs w:val="28"/>
        </w:rPr>
        <w:t>五、知识产权</w:t>
      </w:r>
    </w:p>
    <w:p w14:paraId="19102A0C">
      <w:pPr>
        <w:ind w:firstLine="560"/>
        <w:rPr>
          <w:rFonts w:ascii="方正仿宋_GBK"/>
          <w:szCs w:val="28"/>
        </w:rPr>
      </w:pPr>
      <w:r>
        <w:rPr>
          <w:rFonts w:hint="eastAsia" w:ascii="方正仿宋_GBK"/>
          <w:szCs w:val="28"/>
        </w:rPr>
        <w:t>（一）乙方保证其为提供本协议约定的第三方账号运维及宣传推广服务所使用或创作的任何包括但不限于文字、图片、字体、音乐、肖像等内容和信息享有知识产权或取得了相应的授权，没有侵犯任何第三人的合法权益，任何由该内容和信息引起之争议、法律责任均与甲方无关，且应由乙方自行负责解决并承担相关责任；</w:t>
      </w:r>
    </w:p>
    <w:p w14:paraId="1C29C55C">
      <w:pPr>
        <w:ind w:firstLine="560"/>
        <w:rPr>
          <w:rFonts w:ascii="方正仿宋_GBK"/>
          <w:szCs w:val="28"/>
        </w:rPr>
      </w:pPr>
      <w:r>
        <w:rPr>
          <w:rFonts w:hint="eastAsia" w:ascii="方正仿宋_GBK"/>
          <w:szCs w:val="28"/>
        </w:rPr>
        <w:t>（</w:t>
      </w:r>
      <w:r>
        <w:rPr>
          <w:rFonts w:hint="eastAsia" w:ascii="方正仿宋_GBK"/>
          <w:szCs w:val="28"/>
          <w:lang w:eastAsia="zh-Hans"/>
        </w:rPr>
        <w:t>二</w:t>
      </w:r>
      <w:r>
        <w:rPr>
          <w:rFonts w:hint="eastAsia" w:ascii="方正仿宋_GBK"/>
          <w:szCs w:val="28"/>
        </w:rPr>
        <w:t>）双方保证按照本协议约定范围使用对方提供的内容和技术，不得损害对方商业信誉，不侵犯第三方合法权益。</w:t>
      </w:r>
    </w:p>
    <w:p w14:paraId="09851A57">
      <w:pPr>
        <w:ind w:firstLine="560"/>
        <w:rPr>
          <w:rFonts w:ascii="方正仿宋_GBK"/>
          <w:szCs w:val="28"/>
          <w:lang w:eastAsia="zh-Hans"/>
        </w:rPr>
      </w:pPr>
      <w:r>
        <w:rPr>
          <w:rFonts w:hint="eastAsia" w:ascii="方正仿宋_GBK"/>
          <w:szCs w:val="28"/>
        </w:rPr>
        <w:t>（</w:t>
      </w:r>
      <w:r>
        <w:rPr>
          <w:rFonts w:hint="eastAsia" w:ascii="方正仿宋_GBK"/>
          <w:szCs w:val="28"/>
          <w:lang w:eastAsia="zh-Hans"/>
        </w:rPr>
        <w:t>三</w:t>
      </w:r>
      <w:r>
        <w:rPr>
          <w:rFonts w:hint="eastAsia" w:ascii="方正仿宋_GBK"/>
          <w:szCs w:val="28"/>
        </w:rPr>
        <w:t>）</w:t>
      </w:r>
      <w:r>
        <w:rPr>
          <w:rFonts w:hint="eastAsia" w:ascii="方正仿宋_GBK"/>
          <w:szCs w:val="28"/>
          <w:lang w:eastAsia="zh-Hans"/>
        </w:rPr>
        <w:t>在本协议执行过程</w:t>
      </w:r>
      <w:r>
        <w:rPr>
          <w:rFonts w:hint="eastAsia" w:ascii="方正仿宋_GBK"/>
          <w:szCs w:val="28"/>
        </w:rPr>
        <w:t>中</w:t>
      </w:r>
      <w:r>
        <w:rPr>
          <w:rFonts w:hint="eastAsia" w:ascii="方正仿宋_GBK"/>
          <w:szCs w:val="28"/>
          <w:lang w:eastAsia="zh-Hans"/>
        </w:rPr>
        <w:t>产生的视频</w:t>
      </w:r>
      <w:r>
        <w:rPr>
          <w:rFonts w:hint="eastAsia" w:ascii="方正仿宋_GBK"/>
          <w:szCs w:val="28"/>
        </w:rPr>
        <w:t>、图片</w:t>
      </w:r>
      <w:r>
        <w:rPr>
          <w:rFonts w:hint="eastAsia" w:ascii="方正仿宋_GBK"/>
          <w:szCs w:val="28"/>
          <w:lang w:eastAsia="zh-Hans"/>
        </w:rPr>
        <w:t>著作权等知识产权归甲方所有，即由甲方委托乙方设计制作的完整视频、单个素材镜头</w:t>
      </w:r>
      <w:r>
        <w:rPr>
          <w:rFonts w:hint="eastAsia" w:ascii="方正仿宋_GBK"/>
          <w:szCs w:val="28"/>
        </w:rPr>
        <w:t>、图片</w:t>
      </w:r>
      <w:r>
        <w:rPr>
          <w:rFonts w:hint="eastAsia" w:ascii="方正仿宋_GBK"/>
          <w:szCs w:val="28"/>
          <w:lang w:eastAsia="zh-Hans"/>
        </w:rPr>
        <w:t>等全部素材和成品的著作权归甲方所有，乙方保证甲方及甲方客户可以不受任何限制地行使权利。</w:t>
      </w:r>
    </w:p>
    <w:p w14:paraId="52502CC2">
      <w:pPr>
        <w:ind w:firstLine="562"/>
        <w:rPr>
          <w:rFonts w:ascii="方正仿宋_GBK"/>
          <w:b/>
          <w:bCs/>
          <w:szCs w:val="28"/>
        </w:rPr>
      </w:pPr>
      <w:r>
        <w:rPr>
          <w:rFonts w:hint="eastAsia" w:ascii="方正仿宋_GBK"/>
          <w:b/>
          <w:bCs/>
          <w:szCs w:val="28"/>
        </w:rPr>
        <w:t>六、保密责任</w:t>
      </w:r>
    </w:p>
    <w:p w14:paraId="68D1EE4F">
      <w:pPr>
        <w:ind w:firstLine="560"/>
        <w:rPr>
          <w:rFonts w:ascii="方正仿宋_GBK"/>
          <w:szCs w:val="28"/>
        </w:rPr>
      </w:pPr>
      <w:r>
        <w:rPr>
          <w:rFonts w:hint="eastAsia" w:ascii="方正仿宋_GBK"/>
          <w:szCs w:val="28"/>
        </w:rPr>
        <w:t>（一）未经对方许可，任何一方不得向第三方（有关法律法规、政府部门、证券交易所或其他监管机构要求和第三方的法律、会计、商业及其他顾问、雇员除外）泄露本协议的条款的任何内容以及本协议的签订及履行情况，以及通过签订和履行本协议而获知的对方及对方关联公司的任何信息。否则，甲乙双方都有权利向违反此约定的对方请求损失赔偿，并依法追究法律责任；</w:t>
      </w:r>
    </w:p>
    <w:p w14:paraId="58B032C0">
      <w:pPr>
        <w:ind w:firstLine="560"/>
        <w:rPr>
          <w:rFonts w:ascii="方正仿宋_GBK"/>
          <w:szCs w:val="28"/>
        </w:rPr>
      </w:pPr>
      <w:r>
        <w:rPr>
          <w:rFonts w:hint="eastAsia" w:ascii="方正仿宋_GBK"/>
          <w:szCs w:val="28"/>
        </w:rPr>
        <w:t>（二）本协议有效期内及终止后，本保密条款仍具有法律效力。</w:t>
      </w:r>
    </w:p>
    <w:p w14:paraId="7A97D8B9">
      <w:pPr>
        <w:ind w:firstLine="562"/>
        <w:rPr>
          <w:rFonts w:ascii="方正仿宋_GBK"/>
          <w:b/>
          <w:szCs w:val="28"/>
        </w:rPr>
      </w:pPr>
      <w:r>
        <w:rPr>
          <w:rFonts w:hint="eastAsia" w:ascii="方正仿宋_GBK"/>
          <w:b/>
          <w:bCs/>
          <w:szCs w:val="28"/>
        </w:rPr>
        <w:t>七、不可抗力</w:t>
      </w:r>
    </w:p>
    <w:p w14:paraId="2E621D68">
      <w:pPr>
        <w:ind w:firstLine="560"/>
        <w:rPr>
          <w:rFonts w:ascii="方正仿宋_GBK"/>
          <w:szCs w:val="28"/>
        </w:rPr>
      </w:pPr>
      <w:r>
        <w:rPr>
          <w:rFonts w:hint="eastAsia" w:ascii="方正仿宋_GBK"/>
          <w:szCs w:val="28"/>
        </w:rPr>
        <w:t>（一）“不可抗力”是指本协议双方不能合理控制、不可预见或即使预见亦无法避免的事件，该事件妨碍、影响或延误任何一方根据协议履行其全部或部分义务。该事件包括但不限于政府行为、自然灾害、战争或任何其他类似事件；</w:t>
      </w:r>
    </w:p>
    <w:p w14:paraId="050EDD5A">
      <w:pPr>
        <w:ind w:firstLine="560"/>
        <w:rPr>
          <w:rFonts w:ascii="方正仿宋_GBK"/>
          <w:szCs w:val="28"/>
        </w:rPr>
      </w:pPr>
      <w:r>
        <w:rPr>
          <w:rFonts w:hint="eastAsia" w:ascii="方正仿宋_GBK"/>
          <w:szCs w:val="28"/>
        </w:rPr>
        <w:t>（二）声称受到不可抗力事件影响的一方应尽可能在最短的时间内通过书面形式将不可抗力事件的发生通知另一方，并在该不可抗力事件发生后7日内向另一方提供关于此种不可抗力事件及其持续时间的适当证据及协议不能履行或者需要延期履行的书面资料。声称不可抗力事件导致其对本协议的履行在客观上成为不可能或不实际的一方，有责任尽一切合理的努力消除或减轻此等不可抗力事件的影响；</w:t>
      </w:r>
    </w:p>
    <w:p w14:paraId="264E6C83">
      <w:pPr>
        <w:ind w:firstLine="560"/>
        <w:rPr>
          <w:rFonts w:ascii="方正仿宋_GBK"/>
          <w:szCs w:val="28"/>
        </w:rPr>
      </w:pPr>
      <w:r>
        <w:rPr>
          <w:rFonts w:hint="eastAsia" w:ascii="方正仿宋_GBK"/>
          <w:szCs w:val="28"/>
        </w:rPr>
        <w:t>（三）如果本协议任何一方因受不可抗力事件影响而未能履行其在本协议下的全部或部分义务，该义务的履行在不可抗力事件妨碍其履行期间应予中止。不可抗力事件发生时，双方应立即通过友好协商决定如何执行本协议；</w:t>
      </w:r>
    </w:p>
    <w:p w14:paraId="29A59484">
      <w:pPr>
        <w:ind w:firstLine="560"/>
        <w:rPr>
          <w:rFonts w:ascii="方正仿宋_GBK"/>
          <w:szCs w:val="28"/>
        </w:rPr>
      </w:pPr>
      <w:r>
        <w:rPr>
          <w:rFonts w:hint="eastAsia" w:ascii="方正仿宋_GBK"/>
          <w:szCs w:val="28"/>
        </w:rPr>
        <w:t>（四）不可抗力事件或其影响终止或消除后，双方须立即恢复履行各自在本协议项下的各项义务。如不可抗力及其影响无法终止或消除而致使协议任何一方丧失继续履行协议的能力，则双方可协商解除协议或暂时延迟协议的履行，且遭遇不可抗力一方无须为此承担责任；</w:t>
      </w:r>
    </w:p>
    <w:p w14:paraId="503F44E6">
      <w:pPr>
        <w:ind w:firstLine="560"/>
        <w:rPr>
          <w:rFonts w:ascii="方正仿宋_GBK"/>
          <w:szCs w:val="28"/>
        </w:rPr>
      </w:pPr>
      <w:r>
        <w:rPr>
          <w:rFonts w:hint="eastAsia" w:ascii="方正仿宋_GBK"/>
          <w:szCs w:val="28"/>
        </w:rPr>
        <w:t>（五）一方违约后发生上述不可抗力的，不能免责。</w:t>
      </w:r>
    </w:p>
    <w:p w14:paraId="26430732">
      <w:pPr>
        <w:ind w:firstLine="562"/>
        <w:rPr>
          <w:rFonts w:ascii="方正仿宋_GBK"/>
          <w:b/>
          <w:szCs w:val="28"/>
        </w:rPr>
      </w:pPr>
      <w:r>
        <w:rPr>
          <w:rFonts w:hint="eastAsia" w:ascii="方正仿宋_GBK"/>
          <w:b/>
          <w:bCs/>
          <w:szCs w:val="28"/>
        </w:rPr>
        <w:t>八、禁止商业贿赂条款</w:t>
      </w:r>
    </w:p>
    <w:p w14:paraId="7477C242">
      <w:pPr>
        <w:ind w:firstLine="560"/>
        <w:rPr>
          <w:rFonts w:ascii="方正仿宋_GBK"/>
          <w:szCs w:val="28"/>
        </w:rPr>
      </w:pPr>
      <w:r>
        <w:rPr>
          <w:rFonts w:hint="eastAsia" w:ascii="方正仿宋_GBK"/>
          <w:szCs w:val="28"/>
        </w:rPr>
        <w:t>本协议各方均不得向对方员工行贿，如违反则应当按照行贿财物价值的5倍向对方支付违约金，并且每次行贿应当支付的违约金不低于壹万元。无论行贿数额大小，对方均有权解除协议。构成犯罪的，依法报司法机关处理。</w:t>
      </w:r>
    </w:p>
    <w:p w14:paraId="3164478D">
      <w:pPr>
        <w:ind w:firstLine="560"/>
        <w:rPr>
          <w:rFonts w:ascii="方正仿宋_GBK"/>
          <w:b/>
          <w:szCs w:val="28"/>
        </w:rPr>
      </w:pPr>
      <w:r>
        <w:rPr>
          <w:rFonts w:hint="eastAsia" w:ascii="方正仿宋_GBK"/>
          <w:szCs w:val="28"/>
        </w:rPr>
        <w:t xml:space="preserve"> </w:t>
      </w:r>
      <w:r>
        <w:rPr>
          <w:rFonts w:hint="eastAsia" w:ascii="方正仿宋_GBK"/>
          <w:b/>
          <w:szCs w:val="28"/>
        </w:rPr>
        <w:t>九、违约责任</w:t>
      </w:r>
    </w:p>
    <w:p w14:paraId="6F19C383">
      <w:pPr>
        <w:ind w:firstLine="560"/>
        <w:rPr>
          <w:rFonts w:ascii="方正仿宋_GBK"/>
          <w:szCs w:val="28"/>
        </w:rPr>
      </w:pPr>
      <w:r>
        <w:rPr>
          <w:rFonts w:hint="eastAsia" w:ascii="方正仿宋_GBK"/>
          <w:szCs w:val="28"/>
        </w:rPr>
        <w:t>（一）乙方未按照本协议约定的服务内容全面提供三方账号运维及宣传推广服务的，甲方有权要求乙方限期整改且扣除未提供的三方账号运维服务及宣传推广相对应的款项；乙方未按照本协议约定的时间全面提供三方账号运维及宣传推广服务的，甲方有权要求乙方按照协议总金额日千分之三的标准支付违约金，且甲方有权直接在三方账号运维服务费中扣除违约金；乙方逾期超过</w:t>
      </w:r>
      <w:r>
        <w:rPr>
          <w:rFonts w:hint="eastAsia" w:ascii="方正仿宋_GBK"/>
          <w:szCs w:val="28"/>
          <w:u w:val="single"/>
        </w:rPr>
        <w:t xml:space="preserve"> 五个</w:t>
      </w:r>
      <w:r>
        <w:rPr>
          <w:rFonts w:hint="eastAsia" w:ascii="方正仿宋_GBK"/>
          <w:szCs w:val="28"/>
        </w:rPr>
        <w:t>工作日未整改或经整改仍未达到本协议约定或经甲方要求整改累计超过</w:t>
      </w:r>
      <w:r>
        <w:rPr>
          <w:rFonts w:hint="eastAsia" w:ascii="方正仿宋_GBK"/>
          <w:szCs w:val="28"/>
          <w:u w:val="single"/>
        </w:rPr>
        <w:t xml:space="preserve"> 五</w:t>
      </w:r>
      <w:r>
        <w:rPr>
          <w:rFonts w:hint="eastAsia" w:ascii="方正仿宋_GBK"/>
          <w:szCs w:val="28"/>
        </w:rPr>
        <w:t>次的，甲方有权解除协议并要求乙方承担协议总金额</w:t>
      </w:r>
      <w:r>
        <w:rPr>
          <w:rFonts w:hint="eastAsia" w:ascii="方正仿宋_GBK"/>
          <w:szCs w:val="28"/>
          <w:u w:val="single"/>
        </w:rPr>
        <w:t>30</w:t>
      </w:r>
      <w:r>
        <w:rPr>
          <w:rFonts w:hint="eastAsia" w:ascii="方正仿宋_GBK"/>
          <w:szCs w:val="28"/>
        </w:rPr>
        <w:t>%的违约金。</w:t>
      </w:r>
    </w:p>
    <w:p w14:paraId="4A6E69E2">
      <w:pPr>
        <w:ind w:firstLine="560"/>
        <w:rPr>
          <w:rFonts w:ascii="方正仿宋_GBK"/>
          <w:szCs w:val="28"/>
        </w:rPr>
      </w:pPr>
      <w:r>
        <w:rPr>
          <w:rFonts w:hint="eastAsia" w:ascii="方正仿宋_GBK"/>
          <w:szCs w:val="28"/>
        </w:rPr>
        <w:t>（二）满足付款条件下，如甲方未支付款项，经乙方书面催告后三十个工作日仍未能支付的，自催告期限届满次日起按照一年期LPR为标准支付乙方逾期违约金，违约金累计限额不超过应付款的百分之五。催告期间乙方不得拒绝履行合同义务。</w:t>
      </w:r>
    </w:p>
    <w:p w14:paraId="08E0CF28">
      <w:pPr>
        <w:ind w:firstLine="560"/>
        <w:rPr>
          <w:rFonts w:ascii="方正仿宋_GBK"/>
          <w:szCs w:val="28"/>
        </w:rPr>
      </w:pPr>
      <w:r>
        <w:rPr>
          <w:rFonts w:hint="eastAsia" w:ascii="方正仿宋_GBK"/>
          <w:szCs w:val="28"/>
        </w:rPr>
        <w:t>（三）任何一方违反其于本协议项下的义务，而使另一方遭受任何诉讼、纠纷、索赔、处罚等的，违约方应负责解决，使另一方发生任何费用、额外责任或遭受直接经济损失的，应当负责赔偿，赔偿范围包括因解决争议所支付的费用（包括但不限于律师费、诉讼/仲裁费、差旅费、调查费、公证费、保全担保费等）。</w:t>
      </w:r>
    </w:p>
    <w:p w14:paraId="3377F305">
      <w:pPr>
        <w:ind w:firstLine="560"/>
        <w:rPr>
          <w:rFonts w:ascii="方正仿宋_GBK"/>
          <w:b/>
          <w:szCs w:val="28"/>
        </w:rPr>
      </w:pPr>
      <w:r>
        <w:rPr>
          <w:rFonts w:hint="eastAsia" w:ascii="方正仿宋_GBK"/>
          <w:szCs w:val="28"/>
        </w:rPr>
        <w:t xml:space="preserve"> </w:t>
      </w:r>
      <w:r>
        <w:rPr>
          <w:rFonts w:hint="eastAsia" w:ascii="方正仿宋_GBK"/>
          <w:b/>
          <w:szCs w:val="28"/>
        </w:rPr>
        <w:t>十、争议解决</w:t>
      </w:r>
    </w:p>
    <w:p w14:paraId="1BB2D738">
      <w:pPr>
        <w:ind w:firstLine="560"/>
        <w:rPr>
          <w:rFonts w:ascii="方正仿宋_GBK"/>
          <w:szCs w:val="28"/>
        </w:rPr>
      </w:pPr>
      <w:r>
        <w:rPr>
          <w:rFonts w:hint="eastAsia" w:ascii="方正仿宋_GBK"/>
          <w:szCs w:val="28"/>
        </w:rPr>
        <w:t>（一）有关本协议发生任何争议，甲乙双方应通过友好协商解决，如协商不成，向</w:t>
      </w:r>
      <w:r>
        <w:rPr>
          <w:rFonts w:hint="eastAsia" w:ascii="方正仿宋_GBK" w:hAnsi="Cambria" w:cs="Cambria"/>
          <w:szCs w:val="28"/>
        </w:rPr>
        <w:t>甲</w:t>
      </w:r>
      <w:r>
        <w:rPr>
          <w:rFonts w:hint="eastAsia" w:ascii="方正仿宋_GBK"/>
          <w:szCs w:val="28"/>
        </w:rPr>
        <w:t>方所在地法院提起诉讼解决；</w:t>
      </w:r>
    </w:p>
    <w:p w14:paraId="36F72F00">
      <w:pPr>
        <w:ind w:firstLine="560"/>
        <w:rPr>
          <w:rFonts w:ascii="方正仿宋_GBK"/>
          <w:spacing w:val="-6"/>
          <w:szCs w:val="28"/>
        </w:rPr>
      </w:pPr>
      <w:r>
        <w:rPr>
          <w:rFonts w:hint="eastAsia" w:ascii="方正仿宋_GBK"/>
          <w:szCs w:val="28"/>
        </w:rPr>
        <w:t>（二）本协</w:t>
      </w:r>
      <w:r>
        <w:rPr>
          <w:rFonts w:hint="eastAsia" w:ascii="方正仿宋_GBK"/>
          <w:spacing w:val="-6"/>
          <w:szCs w:val="28"/>
        </w:rPr>
        <w:t>议仅适用中华人民共和国（不含港澳台）有关法律法规。</w:t>
      </w:r>
    </w:p>
    <w:p w14:paraId="43D2DA8E">
      <w:pPr>
        <w:ind w:firstLine="560"/>
        <w:rPr>
          <w:rFonts w:ascii="方正仿宋_GBK"/>
          <w:bCs/>
          <w:szCs w:val="28"/>
        </w:rPr>
      </w:pPr>
      <w:r>
        <w:rPr>
          <w:rFonts w:hint="eastAsia" w:ascii="方正仿宋_GBK"/>
          <w:szCs w:val="28"/>
        </w:rPr>
        <w:t>（三）</w:t>
      </w:r>
      <w:r>
        <w:rPr>
          <w:rFonts w:hint="eastAsia" w:ascii="方正仿宋_GBK"/>
          <w:bCs/>
          <w:szCs w:val="28"/>
        </w:rPr>
        <w:t>通知与送达</w:t>
      </w:r>
    </w:p>
    <w:p w14:paraId="0B176556">
      <w:pPr>
        <w:ind w:firstLine="560"/>
        <w:rPr>
          <w:rFonts w:ascii="方正仿宋_GBK"/>
          <w:bCs/>
          <w:szCs w:val="28"/>
        </w:rPr>
      </w:pPr>
      <w:r>
        <w:rPr>
          <w:rFonts w:hint="eastAsia" w:ascii="方正仿宋_GBK"/>
          <w:bCs/>
          <w:szCs w:val="28"/>
        </w:rPr>
        <w:t>1.除非事先以书面通知更改，本协议首部约定的地址等，为双方工作联系往来、法律文书及争议解决时人民法院和/或仲裁机构的法律文书送达地址，人民法院和/或仲裁机构的诉讼/仲裁文书（含裁判文书）向双方协议约定地址或工商登记公示地址（居民身份证登记地址）送达的，视为有效送达。</w:t>
      </w:r>
    </w:p>
    <w:p w14:paraId="1B974F5D">
      <w:pPr>
        <w:ind w:firstLine="560"/>
        <w:rPr>
          <w:rFonts w:ascii="方正仿宋_GBK"/>
          <w:szCs w:val="28"/>
        </w:rPr>
      </w:pPr>
      <w:r>
        <w:rPr>
          <w:rFonts w:hint="eastAsia" w:ascii="方正仿宋_GBK"/>
          <w:bCs/>
          <w:szCs w:val="28"/>
        </w:rPr>
        <w:t>2.任一方当事人向对方发出的信件，自信件交邮之日起三日内视为送达；发出的短信/电子邮件，自前述电子文件内容在发送方正确填写地址并发送成功即视为送达。</w:t>
      </w:r>
    </w:p>
    <w:p w14:paraId="16CC6254">
      <w:pPr>
        <w:ind w:firstLine="562"/>
        <w:rPr>
          <w:rFonts w:ascii="方正仿宋_GBK"/>
          <w:b/>
          <w:szCs w:val="28"/>
        </w:rPr>
      </w:pPr>
      <w:r>
        <w:rPr>
          <w:rFonts w:hint="eastAsia" w:ascii="方正仿宋_GBK"/>
          <w:b/>
          <w:szCs w:val="28"/>
        </w:rPr>
        <w:t>十一、其他约定</w:t>
      </w:r>
    </w:p>
    <w:p w14:paraId="39E4E531">
      <w:pPr>
        <w:ind w:firstLine="560"/>
        <w:rPr>
          <w:rFonts w:ascii="方正仿宋_GBK"/>
          <w:szCs w:val="28"/>
        </w:rPr>
      </w:pPr>
      <w:r>
        <w:rPr>
          <w:rFonts w:hint="eastAsia" w:ascii="方正仿宋_GBK"/>
          <w:szCs w:val="28"/>
        </w:rPr>
        <w:t>（一）本协议未尽事宜，依照有关法律法规执行，法律法规未作规定的，甲乙双方可以达成书面补充协议。本协议的附件和补充协议均为本协议不可分割的组成部分，与本协议具有同等的法律效力；</w:t>
      </w:r>
    </w:p>
    <w:p w14:paraId="1D3956E1">
      <w:pPr>
        <w:ind w:firstLine="560"/>
        <w:rPr>
          <w:rFonts w:ascii="方正仿宋_GBK"/>
          <w:szCs w:val="28"/>
        </w:rPr>
      </w:pPr>
      <w:r>
        <w:rPr>
          <w:rFonts w:hint="eastAsia" w:ascii="方正仿宋_GBK"/>
          <w:szCs w:val="28"/>
        </w:rPr>
        <w:t>（二）乙方不得将其在本协议项下的权利或义务转让或以其他方式让与他人，除非获得甲方的书面同意，否则甲方有权解除本合同并追究乙方的违约责任；</w:t>
      </w:r>
    </w:p>
    <w:p w14:paraId="3BC6B38E">
      <w:pPr>
        <w:ind w:firstLine="560"/>
        <w:rPr>
          <w:rFonts w:ascii="方正仿宋_GBK"/>
          <w:szCs w:val="28"/>
        </w:rPr>
      </w:pPr>
      <w:r>
        <w:rPr>
          <w:rFonts w:hint="eastAsia" w:ascii="方正仿宋_GBK"/>
          <w:szCs w:val="28"/>
        </w:rPr>
        <w:t>（三）本协议附件、采购文件及其澄清文件、响应文件和承诺是本协议不可分割的一部分。</w:t>
      </w:r>
    </w:p>
    <w:p w14:paraId="50E322CE">
      <w:pPr>
        <w:ind w:firstLine="560"/>
        <w:rPr>
          <w:rFonts w:ascii="方正仿宋_GBK"/>
          <w:szCs w:val="28"/>
        </w:rPr>
      </w:pPr>
      <w:r>
        <w:rPr>
          <w:rFonts w:hint="eastAsia" w:ascii="方正仿宋_GBK"/>
          <w:szCs w:val="28"/>
        </w:rPr>
        <w:t>（四）本协议正本一式肆份，双方各执贰份，具有同等的法律效力，自甲乙双方法定代表人或授权代表签字且盖章之日起生效。本协议有效期按协议约定的合作时间。</w:t>
      </w:r>
    </w:p>
    <w:p w14:paraId="34BB18F8">
      <w:pPr>
        <w:pStyle w:val="8"/>
        <w:ind w:firstLine="0" w:firstLineChars="0"/>
      </w:pPr>
    </w:p>
    <w:bookmarkEnd w:id="114"/>
    <w:p w14:paraId="1A0D1204">
      <w:pPr>
        <w:ind w:firstLine="0" w:firstLineChars="0"/>
      </w:pPr>
      <w:bookmarkStart w:id="142" w:name="_Hlk126250423"/>
      <w:bookmarkStart w:id="143" w:name="_Toc11006"/>
      <w:bookmarkStart w:id="144" w:name="_Toc18978"/>
      <w:bookmarkStart w:id="145" w:name="_Toc7939"/>
      <w:bookmarkStart w:id="146" w:name="_Toc223"/>
      <w:bookmarkStart w:id="147" w:name="_Toc8201"/>
    </w:p>
    <w:bookmarkEnd w:id="142"/>
    <w:p w14:paraId="0278D3F0">
      <w:pPr>
        <w:spacing w:line="540" w:lineRule="exact"/>
        <w:ind w:firstLine="0" w:firstLineChars="0"/>
        <w:rPr>
          <w:rFonts w:ascii="Times New Roman" w:hAnsi="Times New Roman" w:eastAsia="仿宋"/>
          <w:b/>
          <w:bCs/>
          <w:color w:val="auto"/>
        </w:rPr>
      </w:pPr>
      <w:r>
        <w:rPr>
          <w:rFonts w:ascii="Times New Roman" w:hAnsi="Times New Roman" w:eastAsia="仿宋"/>
          <w:b/>
          <w:bCs/>
          <w:color w:val="auto"/>
        </w:rPr>
        <w:t>（</w:t>
      </w:r>
      <w:r>
        <w:rPr>
          <w:rFonts w:ascii="Times New Roman" w:hAnsi="Times New Roman" w:eastAsia="仿宋"/>
          <w:b/>
          <w:bCs/>
          <w:color w:val="auto"/>
          <w:spacing w:val="-17"/>
        </w:rPr>
        <w:t>本篇内容仅作参考，最终合同条款与合同以</w:t>
      </w:r>
      <w:r>
        <w:rPr>
          <w:rFonts w:hint="eastAsia" w:ascii="Times New Roman" w:hAnsi="Times New Roman" w:eastAsia="仿宋"/>
          <w:b/>
          <w:bCs/>
          <w:color w:val="auto"/>
          <w:spacing w:val="-17"/>
        </w:rPr>
        <w:t>采购</w:t>
      </w:r>
      <w:r>
        <w:rPr>
          <w:rFonts w:ascii="Times New Roman" w:hAnsi="Times New Roman" w:eastAsia="仿宋"/>
          <w:b/>
          <w:bCs/>
          <w:color w:val="auto"/>
          <w:spacing w:val="-17"/>
        </w:rPr>
        <w:t>人与中</w:t>
      </w:r>
      <w:r>
        <w:rPr>
          <w:rFonts w:hint="eastAsia" w:ascii="Times New Roman" w:hAnsi="Times New Roman" w:eastAsia="仿宋"/>
          <w:b/>
          <w:bCs/>
          <w:color w:val="auto"/>
          <w:spacing w:val="-17"/>
        </w:rPr>
        <w:t>选</w:t>
      </w:r>
      <w:r>
        <w:rPr>
          <w:rFonts w:ascii="Times New Roman" w:hAnsi="Times New Roman" w:eastAsia="仿宋"/>
          <w:b/>
          <w:bCs/>
          <w:color w:val="auto"/>
          <w:spacing w:val="-17"/>
        </w:rPr>
        <w:t>人双方沟通协商确定。</w:t>
      </w:r>
      <w:r>
        <w:rPr>
          <w:rFonts w:ascii="Times New Roman" w:hAnsi="Times New Roman" w:eastAsia="仿宋"/>
          <w:b/>
          <w:bCs/>
          <w:color w:val="auto"/>
        </w:rPr>
        <w:t>）</w:t>
      </w:r>
    </w:p>
    <w:p w14:paraId="70673F4E">
      <w:pPr>
        <w:spacing w:line="540" w:lineRule="exact"/>
        <w:ind w:firstLine="0" w:firstLineChars="0"/>
        <w:rPr>
          <w:rFonts w:ascii="Times New Roman" w:hAnsi="Times New Roman" w:eastAsia="仿宋"/>
          <w:b/>
          <w:bCs/>
          <w:color w:val="auto"/>
        </w:rPr>
      </w:pPr>
    </w:p>
    <w:p w14:paraId="43F4781E">
      <w:pPr>
        <w:spacing w:line="540" w:lineRule="exact"/>
        <w:ind w:firstLine="0" w:firstLineChars="0"/>
        <w:rPr>
          <w:rFonts w:ascii="Times New Roman" w:hAnsi="Times New Roman" w:eastAsia="仿宋"/>
          <w:b/>
          <w:bCs/>
          <w:color w:val="auto"/>
        </w:rPr>
      </w:pPr>
    </w:p>
    <w:p w14:paraId="14B0ED25">
      <w:pPr>
        <w:spacing w:line="540" w:lineRule="exact"/>
        <w:ind w:firstLine="0" w:firstLineChars="0"/>
        <w:rPr>
          <w:rFonts w:ascii="Times New Roman" w:hAnsi="Times New Roman" w:eastAsia="仿宋"/>
          <w:b/>
          <w:bCs/>
          <w:color w:val="auto"/>
        </w:rPr>
      </w:pPr>
    </w:p>
    <w:p w14:paraId="62865A8A">
      <w:pPr>
        <w:spacing w:line="540" w:lineRule="exact"/>
        <w:ind w:firstLine="0" w:firstLineChars="0"/>
        <w:rPr>
          <w:rFonts w:ascii="Times New Roman" w:hAnsi="Times New Roman" w:eastAsia="仿宋"/>
          <w:b/>
          <w:bCs/>
          <w:color w:val="auto"/>
        </w:rPr>
      </w:pPr>
    </w:p>
    <w:p w14:paraId="574C3F84">
      <w:pPr>
        <w:spacing w:line="540" w:lineRule="exact"/>
        <w:ind w:firstLine="0" w:firstLineChars="0"/>
        <w:rPr>
          <w:rFonts w:ascii="Times New Roman" w:hAnsi="Times New Roman" w:eastAsia="仿宋"/>
          <w:b/>
          <w:bCs/>
          <w:color w:val="auto"/>
        </w:rPr>
      </w:pPr>
    </w:p>
    <w:p w14:paraId="232D8D90">
      <w:pPr>
        <w:spacing w:line="540" w:lineRule="exact"/>
        <w:ind w:firstLine="0" w:firstLineChars="0"/>
        <w:rPr>
          <w:rFonts w:ascii="Times New Roman" w:hAnsi="Times New Roman" w:eastAsia="仿宋"/>
          <w:b/>
          <w:bCs/>
          <w:color w:val="auto"/>
        </w:rPr>
      </w:pPr>
    </w:p>
    <w:p w14:paraId="259C824A">
      <w:pPr>
        <w:spacing w:line="540" w:lineRule="exact"/>
        <w:ind w:firstLine="0" w:firstLineChars="0"/>
        <w:rPr>
          <w:rFonts w:ascii="Times New Roman" w:hAnsi="Times New Roman" w:eastAsia="仿宋"/>
          <w:b/>
          <w:bCs/>
          <w:color w:val="auto"/>
        </w:rPr>
      </w:pPr>
    </w:p>
    <w:p w14:paraId="003F1479">
      <w:pPr>
        <w:spacing w:line="540" w:lineRule="exact"/>
        <w:ind w:firstLine="0" w:firstLineChars="0"/>
        <w:rPr>
          <w:rFonts w:ascii="Times New Roman" w:hAnsi="Times New Roman" w:eastAsia="仿宋"/>
          <w:b/>
          <w:bCs/>
          <w:color w:val="auto"/>
        </w:rPr>
      </w:pPr>
    </w:p>
    <w:p w14:paraId="0F01134B">
      <w:pPr>
        <w:spacing w:line="540" w:lineRule="exact"/>
        <w:ind w:firstLine="0" w:firstLineChars="0"/>
        <w:rPr>
          <w:rFonts w:ascii="Times New Roman" w:hAnsi="Times New Roman" w:eastAsia="仿宋"/>
          <w:b/>
          <w:bCs/>
          <w:color w:val="auto"/>
        </w:rPr>
      </w:pPr>
    </w:p>
    <w:p w14:paraId="374DD39A">
      <w:pPr>
        <w:spacing w:line="540" w:lineRule="exact"/>
        <w:ind w:firstLine="0" w:firstLineChars="0"/>
        <w:rPr>
          <w:rFonts w:ascii="Times New Roman" w:hAnsi="Times New Roman" w:eastAsia="仿宋"/>
          <w:b/>
          <w:bCs/>
          <w:color w:val="auto"/>
        </w:rPr>
      </w:pPr>
    </w:p>
    <w:p w14:paraId="3FBB9B5C">
      <w:pPr>
        <w:spacing w:line="540" w:lineRule="exact"/>
        <w:ind w:firstLine="0" w:firstLineChars="0"/>
        <w:rPr>
          <w:rFonts w:ascii="Times New Roman" w:hAnsi="Times New Roman" w:eastAsia="仿宋"/>
          <w:color w:val="auto"/>
        </w:rPr>
      </w:pPr>
    </w:p>
    <w:p w14:paraId="0C67342F">
      <w:pPr>
        <w:spacing w:line="540" w:lineRule="exact"/>
        <w:ind w:firstLine="0" w:firstLineChars="0"/>
        <w:rPr>
          <w:rFonts w:ascii="Times New Roman" w:hAnsi="Times New Roman" w:eastAsia="仿宋"/>
          <w:color w:val="auto"/>
        </w:rPr>
      </w:pPr>
    </w:p>
    <w:p w14:paraId="517B1B31">
      <w:pPr>
        <w:spacing w:line="540" w:lineRule="exact"/>
        <w:ind w:firstLine="0" w:firstLineChars="0"/>
        <w:rPr>
          <w:rFonts w:ascii="Times New Roman" w:hAnsi="Times New Roman" w:eastAsia="仿宋"/>
          <w:color w:val="auto"/>
        </w:rPr>
      </w:pPr>
    </w:p>
    <w:p w14:paraId="422F1FBA">
      <w:pPr>
        <w:spacing w:line="540" w:lineRule="exact"/>
        <w:ind w:firstLine="0" w:firstLineChars="0"/>
        <w:rPr>
          <w:rFonts w:ascii="Times New Roman" w:hAnsi="Times New Roman" w:eastAsia="仿宋"/>
          <w:color w:val="auto"/>
        </w:rPr>
      </w:pPr>
    </w:p>
    <w:p w14:paraId="6AAA1BC5">
      <w:pPr>
        <w:spacing w:line="540" w:lineRule="exact"/>
        <w:ind w:firstLine="0" w:firstLineChars="0"/>
        <w:rPr>
          <w:rFonts w:ascii="Times New Roman" w:hAnsi="Times New Roman" w:eastAsia="仿宋"/>
          <w:color w:val="auto"/>
        </w:rPr>
      </w:pPr>
    </w:p>
    <w:p w14:paraId="5302B240">
      <w:pPr>
        <w:spacing w:line="540" w:lineRule="exact"/>
        <w:ind w:firstLine="0" w:firstLineChars="0"/>
        <w:rPr>
          <w:rFonts w:ascii="Times New Roman" w:hAnsi="Times New Roman" w:eastAsia="仿宋"/>
          <w:color w:val="auto"/>
        </w:rPr>
      </w:pPr>
    </w:p>
    <w:p w14:paraId="4C296387">
      <w:pPr>
        <w:spacing w:line="540" w:lineRule="exact"/>
        <w:ind w:firstLine="0" w:firstLineChars="0"/>
        <w:rPr>
          <w:rFonts w:ascii="Times New Roman" w:hAnsi="Times New Roman" w:eastAsia="仿宋"/>
          <w:color w:val="auto"/>
        </w:rPr>
      </w:pPr>
    </w:p>
    <w:p w14:paraId="13FAE3F5">
      <w:pPr>
        <w:spacing w:line="540" w:lineRule="exact"/>
        <w:ind w:firstLine="0" w:firstLineChars="0"/>
        <w:rPr>
          <w:rFonts w:ascii="Times New Roman" w:hAnsi="Times New Roman" w:eastAsia="仿宋"/>
          <w:color w:val="auto"/>
        </w:rPr>
      </w:pPr>
    </w:p>
    <w:bookmarkEnd w:id="122"/>
    <w:p w14:paraId="1B43F15D">
      <w:pPr>
        <w:pStyle w:val="2"/>
        <w:spacing w:before="0" w:after="0" w:line="499" w:lineRule="exact"/>
        <w:ind w:firstLine="0" w:firstLineChars="0"/>
        <w:jc w:val="center"/>
        <w:rPr>
          <w:rFonts w:ascii="Times New Roman" w:hAnsi="Times New Roman" w:eastAsia="方正小标宋_GBK" w:cs="Times New Roman"/>
          <w:b/>
          <w:bCs/>
          <w:color w:val="auto"/>
          <w:kern w:val="44"/>
          <w:sz w:val="32"/>
          <w:szCs w:val="44"/>
        </w:rPr>
      </w:pPr>
      <w:bookmarkStart w:id="148" w:name="_Toc2413"/>
      <w:bookmarkStart w:id="149" w:name="_Toc105081939"/>
      <w:bookmarkStart w:id="150" w:name="_Toc194572021"/>
      <w:bookmarkStart w:id="151" w:name="_Toc97027585"/>
      <w:r>
        <w:rPr>
          <w:rFonts w:ascii="Times New Roman" w:hAnsi="Times New Roman" w:eastAsia="方正小标宋_GBK" w:cs="Times New Roman"/>
          <w:b/>
          <w:bCs/>
          <w:color w:val="auto"/>
          <w:kern w:val="44"/>
          <w:sz w:val="32"/>
          <w:szCs w:val="44"/>
        </w:rPr>
        <w:t>第七篇 参选文件格式</w:t>
      </w:r>
      <w:bookmarkEnd w:id="148"/>
      <w:bookmarkEnd w:id="149"/>
      <w:bookmarkEnd w:id="150"/>
      <w:bookmarkEnd w:id="151"/>
    </w:p>
    <w:p w14:paraId="188F4791">
      <w:pPr>
        <w:snapToGrid w:val="0"/>
        <w:spacing w:line="499" w:lineRule="exact"/>
        <w:ind w:firstLine="560"/>
        <w:jc w:val="center"/>
        <w:rPr>
          <w:rFonts w:ascii="Times New Roman" w:hAnsi="Times New Roman" w:eastAsia="仿宋"/>
          <w:color w:val="auto"/>
          <w:szCs w:val="28"/>
        </w:rPr>
      </w:pPr>
      <w:r>
        <w:rPr>
          <w:rFonts w:ascii="Times New Roman" w:hAnsi="Times New Roman" w:eastAsia="仿宋"/>
          <w:color w:val="auto"/>
          <w:szCs w:val="28"/>
        </w:rPr>
        <w:t>（请按本篇要求提供，包含但不限于以下格式内容）</w:t>
      </w:r>
    </w:p>
    <w:p w14:paraId="4BB943CA">
      <w:pPr>
        <w:spacing w:line="539" w:lineRule="exact"/>
        <w:ind w:firstLine="0" w:firstLineChars="0"/>
        <w:rPr>
          <w:rFonts w:ascii="Times New Roman" w:hAnsi="Times New Roman" w:eastAsia="仿宋"/>
          <w:b/>
          <w:bCs/>
          <w:color w:val="auto"/>
        </w:rPr>
      </w:pPr>
      <w:bookmarkStart w:id="152" w:name="_Toc97027586"/>
      <w:bookmarkStart w:id="153" w:name="_Toc31119"/>
      <w:bookmarkStart w:id="154" w:name="_Toc105081940"/>
      <w:bookmarkStart w:id="155" w:name="_Toc86359002"/>
      <w:r>
        <w:rPr>
          <w:rFonts w:ascii="Times New Roman" w:hAnsi="Times New Roman" w:eastAsia="仿宋"/>
          <w:b/>
          <w:bCs/>
          <w:color w:val="auto"/>
        </w:rPr>
        <w:t>一、经济文件</w:t>
      </w:r>
    </w:p>
    <w:p w14:paraId="1D6A8C7A">
      <w:pPr>
        <w:ind w:firstLine="0" w:firstLineChars="0"/>
        <w:rPr>
          <w:rFonts w:eastAsia="仿宋"/>
        </w:rPr>
      </w:pPr>
      <w:r>
        <w:rPr>
          <w:rFonts w:ascii="Times New Roman" w:hAnsi="Times New Roman" w:eastAsia="仿宋"/>
          <w:color w:val="auto"/>
        </w:rPr>
        <w:t>1.</w:t>
      </w:r>
      <w:r>
        <w:rPr>
          <w:rFonts w:hint="eastAsia" w:ascii="Times New Roman" w:hAnsi="Times New Roman" w:eastAsia="仿宋"/>
          <w:color w:val="auto"/>
        </w:rPr>
        <w:t>比选</w:t>
      </w:r>
      <w:r>
        <w:rPr>
          <w:rFonts w:ascii="Times New Roman" w:hAnsi="Times New Roman" w:eastAsia="仿宋"/>
          <w:color w:val="auto"/>
        </w:rPr>
        <w:t>一览表</w:t>
      </w:r>
    </w:p>
    <w:p w14:paraId="1B9BF3F9">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二、服务</w:t>
      </w:r>
      <w:r>
        <w:rPr>
          <w:rFonts w:hint="eastAsia" w:ascii="Times New Roman" w:hAnsi="Times New Roman" w:eastAsia="仿宋"/>
          <w:b/>
          <w:bCs/>
          <w:color w:val="auto"/>
        </w:rPr>
        <w:t>/</w:t>
      </w:r>
      <w:r>
        <w:rPr>
          <w:rFonts w:ascii="Times New Roman" w:hAnsi="Times New Roman" w:eastAsia="仿宋"/>
          <w:b/>
          <w:bCs/>
          <w:color w:val="auto"/>
        </w:rPr>
        <w:t>技术文件</w:t>
      </w:r>
    </w:p>
    <w:p w14:paraId="48EB4E28">
      <w:pPr>
        <w:spacing w:line="539" w:lineRule="exact"/>
        <w:ind w:firstLine="0" w:firstLineChars="0"/>
        <w:rPr>
          <w:rFonts w:ascii="Times New Roman" w:hAnsi="Times New Roman" w:eastAsia="仿宋"/>
          <w:color w:val="auto"/>
        </w:rPr>
      </w:pPr>
      <w:r>
        <w:rPr>
          <w:rFonts w:ascii="Times New Roman" w:hAnsi="Times New Roman" w:eastAsia="仿宋"/>
          <w:color w:val="auto"/>
        </w:rPr>
        <w:t>1.</w:t>
      </w:r>
      <w:r>
        <w:rPr>
          <w:rFonts w:hint="eastAsia" w:ascii="Times New Roman" w:hAnsi="Times New Roman" w:eastAsia="仿宋"/>
          <w:color w:val="auto"/>
        </w:rPr>
        <w:t>服务要求应答承诺书</w:t>
      </w:r>
    </w:p>
    <w:p w14:paraId="06221EF0">
      <w:pPr>
        <w:spacing w:line="539" w:lineRule="exact"/>
        <w:ind w:firstLine="0" w:firstLineChars="0"/>
        <w:rPr>
          <w:rFonts w:ascii="Times New Roman" w:hAnsi="Times New Roman" w:eastAsia="仿宋"/>
          <w:color w:val="auto"/>
        </w:rPr>
      </w:pPr>
      <w:r>
        <w:rPr>
          <w:rFonts w:ascii="Times New Roman" w:hAnsi="Times New Roman" w:eastAsia="仿宋"/>
          <w:color w:val="auto"/>
        </w:rPr>
        <w:t>2.其他服务部分资料</w:t>
      </w:r>
    </w:p>
    <w:p w14:paraId="66099ED3">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三、商务文件</w:t>
      </w:r>
    </w:p>
    <w:p w14:paraId="1A1EE2FD">
      <w:pPr>
        <w:spacing w:line="539" w:lineRule="exact"/>
        <w:ind w:firstLine="0" w:firstLineChars="0"/>
        <w:rPr>
          <w:rFonts w:ascii="Times New Roman" w:hAnsi="Times New Roman" w:eastAsia="仿宋"/>
          <w:color w:val="auto"/>
        </w:rPr>
      </w:pPr>
      <w:r>
        <w:rPr>
          <w:rFonts w:ascii="Times New Roman" w:hAnsi="Times New Roman" w:eastAsia="仿宋"/>
          <w:color w:val="auto"/>
        </w:rPr>
        <w:t>1.比选函</w:t>
      </w:r>
    </w:p>
    <w:p w14:paraId="2DF6D1B0">
      <w:pPr>
        <w:widowControl/>
        <w:numPr>
          <w:ilvl w:val="255"/>
          <w:numId w:val="0"/>
        </w:numPr>
        <w:spacing w:line="539" w:lineRule="exact"/>
        <w:jc w:val="left"/>
        <w:rPr>
          <w:rFonts w:ascii="Times New Roman" w:hAnsi="Times New Roman" w:eastAsia="仿宋"/>
          <w:color w:val="auto"/>
        </w:rPr>
      </w:pPr>
      <w:r>
        <w:rPr>
          <w:rFonts w:hint="eastAsia" w:ascii="Times New Roman" w:hAnsi="Times New Roman" w:eastAsia="仿宋"/>
          <w:color w:val="auto"/>
        </w:rPr>
        <w:t>2.商务要求应答承诺书</w:t>
      </w:r>
    </w:p>
    <w:p w14:paraId="70D7153E">
      <w:pPr>
        <w:widowControl/>
        <w:spacing w:line="539" w:lineRule="exact"/>
        <w:ind w:firstLine="0" w:firstLineChars="0"/>
        <w:jc w:val="left"/>
        <w:rPr>
          <w:rFonts w:ascii="Times New Roman" w:hAnsi="Times New Roman" w:eastAsia="仿宋"/>
          <w:color w:val="auto"/>
        </w:rPr>
      </w:pPr>
      <w:r>
        <w:rPr>
          <w:rFonts w:ascii="Times New Roman" w:hAnsi="Times New Roman" w:eastAsia="仿宋"/>
          <w:color w:val="auto"/>
        </w:rPr>
        <w:t>3.其他商务部分资料</w:t>
      </w:r>
    </w:p>
    <w:p w14:paraId="0656D03B">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四、其他与项目有关的资料</w:t>
      </w:r>
    </w:p>
    <w:p w14:paraId="4B7F1FB4">
      <w:pPr>
        <w:spacing w:line="539" w:lineRule="exact"/>
        <w:ind w:firstLine="0" w:firstLineChars="0"/>
        <w:rPr>
          <w:rFonts w:ascii="Times New Roman" w:hAnsi="Times New Roman" w:eastAsia="仿宋"/>
          <w:b/>
          <w:bCs/>
          <w:color w:val="auto"/>
        </w:rPr>
      </w:pPr>
      <w:r>
        <w:rPr>
          <w:rFonts w:ascii="Times New Roman" w:hAnsi="Times New Roman" w:eastAsia="仿宋"/>
          <w:b/>
          <w:bCs/>
          <w:color w:val="auto"/>
        </w:rPr>
        <w:t>五、资格文件</w:t>
      </w:r>
    </w:p>
    <w:p w14:paraId="66F0260A">
      <w:pPr>
        <w:spacing w:line="539" w:lineRule="exact"/>
        <w:ind w:firstLine="0" w:firstLineChars="0"/>
        <w:rPr>
          <w:rFonts w:ascii="Times New Roman" w:hAnsi="Times New Roman" w:eastAsia="仿宋"/>
          <w:color w:val="auto"/>
        </w:rPr>
      </w:pPr>
      <w:r>
        <w:rPr>
          <w:rFonts w:ascii="Times New Roman" w:hAnsi="Times New Roman" w:eastAsia="仿宋"/>
          <w:color w:val="auto"/>
        </w:rPr>
        <w:t>1.法人营业执照（副本）或事业单位法人证书（副本）或个体工商户营业执照或有效的自然人身份证明或社会团体法人登记证书复印件；</w:t>
      </w:r>
    </w:p>
    <w:p w14:paraId="25F02BD2">
      <w:pPr>
        <w:spacing w:line="539" w:lineRule="exact"/>
        <w:ind w:firstLine="0" w:firstLineChars="0"/>
        <w:rPr>
          <w:rFonts w:ascii="Times New Roman" w:hAnsi="Times New Roman" w:eastAsia="仿宋"/>
          <w:color w:val="auto"/>
        </w:rPr>
      </w:pPr>
      <w:r>
        <w:rPr>
          <w:rFonts w:ascii="Times New Roman" w:hAnsi="Times New Roman" w:eastAsia="仿宋"/>
          <w:color w:val="auto"/>
        </w:rPr>
        <w:t>2.法定代表人身份证明书（格式）；</w:t>
      </w:r>
    </w:p>
    <w:p w14:paraId="09CDD722">
      <w:pPr>
        <w:spacing w:line="539" w:lineRule="exact"/>
        <w:ind w:firstLine="0" w:firstLineChars="0"/>
        <w:rPr>
          <w:rFonts w:ascii="Times New Roman" w:hAnsi="Times New Roman" w:eastAsia="仿宋"/>
          <w:color w:val="auto"/>
        </w:rPr>
      </w:pPr>
      <w:r>
        <w:rPr>
          <w:rFonts w:ascii="Times New Roman" w:hAnsi="Times New Roman" w:eastAsia="仿宋"/>
          <w:color w:val="auto"/>
        </w:rPr>
        <w:t>3.法定代表人授权委托书（格式）；</w:t>
      </w:r>
    </w:p>
    <w:p w14:paraId="38C2DD89">
      <w:pPr>
        <w:spacing w:line="539" w:lineRule="exact"/>
        <w:ind w:firstLine="0" w:firstLineChars="0"/>
        <w:rPr>
          <w:rFonts w:ascii="Times New Roman" w:hAnsi="Times New Roman" w:eastAsia="仿宋"/>
          <w:color w:val="auto"/>
        </w:rPr>
      </w:pPr>
      <w:r>
        <w:rPr>
          <w:rFonts w:ascii="Times New Roman" w:hAnsi="Times New Roman" w:eastAsia="仿宋"/>
          <w:color w:val="auto"/>
        </w:rPr>
        <w:t>4.基本资格条件承诺函（格式）</w:t>
      </w:r>
      <w:r>
        <w:rPr>
          <w:rFonts w:hint="eastAsia" w:ascii="Times New Roman" w:hAnsi="Times New Roman" w:eastAsia="仿宋"/>
          <w:color w:val="auto"/>
        </w:rPr>
        <w:t>；</w:t>
      </w:r>
    </w:p>
    <w:p w14:paraId="26B9B4BA">
      <w:pPr>
        <w:spacing w:line="539" w:lineRule="exact"/>
        <w:ind w:firstLine="0" w:firstLineChars="0"/>
        <w:rPr>
          <w:rFonts w:ascii="Times New Roman" w:hAnsi="Times New Roman" w:eastAsia="仿宋"/>
          <w:color w:val="auto"/>
        </w:rPr>
      </w:pPr>
      <w:r>
        <w:rPr>
          <w:rFonts w:ascii="Times New Roman" w:hAnsi="Times New Roman" w:eastAsia="仿宋"/>
          <w:color w:val="auto"/>
        </w:rPr>
        <w:t>5.承诺书（格式自拟）</w:t>
      </w:r>
      <w:r>
        <w:rPr>
          <w:rFonts w:hint="eastAsia" w:ascii="Times New Roman" w:hAnsi="Times New Roman" w:eastAsia="仿宋"/>
          <w:color w:val="auto"/>
        </w:rPr>
        <w:t>；</w:t>
      </w:r>
    </w:p>
    <w:p w14:paraId="3D5702E3">
      <w:pPr>
        <w:spacing w:line="539" w:lineRule="exact"/>
        <w:ind w:firstLine="0" w:firstLineChars="0"/>
        <w:rPr>
          <w:rFonts w:ascii="Times New Roman" w:hAnsi="Times New Roman" w:eastAsia="仿宋"/>
          <w:color w:val="auto"/>
        </w:rPr>
      </w:pPr>
      <w:r>
        <w:rPr>
          <w:rFonts w:ascii="Times New Roman" w:hAnsi="Times New Roman" w:eastAsia="仿宋"/>
          <w:color w:val="auto"/>
        </w:rPr>
        <w:t>6.诚信声明</w:t>
      </w:r>
      <w:r>
        <w:rPr>
          <w:rFonts w:hint="eastAsia" w:ascii="Times New Roman" w:hAnsi="Times New Roman" w:eastAsia="仿宋"/>
          <w:color w:val="auto"/>
        </w:rPr>
        <w:t>。</w:t>
      </w:r>
    </w:p>
    <w:p w14:paraId="4E168499">
      <w:pPr>
        <w:spacing w:line="539" w:lineRule="exact"/>
        <w:ind w:firstLine="0" w:firstLineChars="0"/>
        <w:rPr>
          <w:rFonts w:ascii="Times New Roman" w:hAnsi="Times New Roman" w:eastAsia="仿宋"/>
          <w:color w:val="auto"/>
        </w:rPr>
      </w:pPr>
    </w:p>
    <w:p w14:paraId="50E9BC05">
      <w:pPr>
        <w:spacing w:line="539" w:lineRule="exact"/>
        <w:ind w:firstLine="0" w:firstLineChars="0"/>
        <w:rPr>
          <w:rFonts w:ascii="Times New Roman" w:hAnsi="Times New Roman" w:eastAsia="仿宋"/>
          <w:color w:val="auto"/>
        </w:rPr>
      </w:pPr>
    </w:p>
    <w:p w14:paraId="31DEEEDF">
      <w:pPr>
        <w:spacing w:line="539" w:lineRule="exact"/>
        <w:ind w:firstLine="0" w:firstLineChars="0"/>
        <w:rPr>
          <w:rFonts w:ascii="Times New Roman" w:hAnsi="Times New Roman" w:eastAsia="仿宋"/>
          <w:color w:val="auto"/>
        </w:rPr>
      </w:pPr>
    </w:p>
    <w:bookmarkEnd w:id="152"/>
    <w:bookmarkEnd w:id="153"/>
    <w:bookmarkEnd w:id="154"/>
    <w:bookmarkEnd w:id="155"/>
    <w:p w14:paraId="507EBFCC">
      <w:pPr>
        <w:widowControl/>
        <w:ind w:firstLine="0" w:firstLineChars="0"/>
        <w:jc w:val="left"/>
        <w:rPr>
          <w:rFonts w:ascii="Times New Roman" w:hAnsi="Times New Roman" w:eastAsia="仿宋"/>
          <w:b/>
          <w:bCs/>
          <w:color w:val="auto"/>
          <w:szCs w:val="28"/>
        </w:rPr>
      </w:pPr>
      <w:r>
        <w:rPr>
          <w:rFonts w:ascii="Times New Roman" w:hAnsi="Times New Roman" w:eastAsia="仿宋"/>
          <w:b/>
          <w:bCs/>
          <w:color w:val="auto"/>
          <w:szCs w:val="28"/>
        </w:rPr>
        <w:t>一、经济文件</w:t>
      </w:r>
    </w:p>
    <w:p w14:paraId="2990C655">
      <w:pPr>
        <w:widowControl/>
        <w:ind w:firstLine="0" w:firstLineChars="0"/>
        <w:jc w:val="left"/>
        <w:rPr>
          <w:rFonts w:ascii="Times New Roman" w:hAnsi="Times New Roman" w:eastAsia="仿宋"/>
          <w:color w:val="auto"/>
          <w:szCs w:val="28"/>
        </w:rPr>
      </w:pPr>
      <w:r>
        <w:rPr>
          <w:rFonts w:ascii="Times New Roman" w:hAnsi="Times New Roman" w:eastAsia="仿宋"/>
          <w:color w:val="auto"/>
          <w:szCs w:val="28"/>
        </w:rPr>
        <w:t>1.</w:t>
      </w:r>
      <w:r>
        <w:rPr>
          <w:rFonts w:hint="eastAsia" w:ascii="Times New Roman" w:hAnsi="Times New Roman" w:eastAsia="仿宋"/>
          <w:color w:val="auto"/>
          <w:szCs w:val="28"/>
        </w:rPr>
        <w:t>比选</w:t>
      </w:r>
      <w:r>
        <w:rPr>
          <w:rFonts w:ascii="Times New Roman" w:hAnsi="Times New Roman" w:eastAsia="仿宋"/>
          <w:color w:val="auto"/>
          <w:szCs w:val="28"/>
        </w:rPr>
        <w:t>一览表</w:t>
      </w:r>
    </w:p>
    <w:p w14:paraId="321580D3">
      <w:pPr>
        <w:snapToGrid w:val="0"/>
        <w:spacing w:line="500" w:lineRule="exact"/>
        <w:ind w:firstLine="640"/>
        <w:jc w:val="center"/>
        <w:rPr>
          <w:rFonts w:ascii="Times New Roman" w:hAnsi="Times New Roman" w:eastAsia="仿宋"/>
          <w:color w:val="auto"/>
          <w:sz w:val="32"/>
          <w:szCs w:val="28"/>
        </w:rPr>
      </w:pPr>
      <w:bookmarkStart w:id="156" w:name="_Toc10164"/>
      <w:r>
        <w:rPr>
          <w:rFonts w:hint="eastAsia" w:ascii="Times New Roman" w:hAnsi="Times New Roman" w:eastAsia="仿宋"/>
          <w:color w:val="auto"/>
          <w:sz w:val="32"/>
          <w:szCs w:val="28"/>
        </w:rPr>
        <w:t>比选</w:t>
      </w:r>
      <w:r>
        <w:rPr>
          <w:rFonts w:ascii="Times New Roman" w:hAnsi="Times New Roman" w:eastAsia="仿宋"/>
          <w:color w:val="auto"/>
          <w:sz w:val="32"/>
          <w:szCs w:val="28"/>
        </w:rPr>
        <w:t>一览表</w:t>
      </w:r>
    </w:p>
    <w:p w14:paraId="7DFBDF3D">
      <w:pPr>
        <w:spacing w:line="500" w:lineRule="exact"/>
        <w:ind w:firstLine="280" w:firstLineChars="100"/>
        <w:rPr>
          <w:rFonts w:ascii="Times New Roman" w:hAnsi="Times New Roman" w:eastAsia="仿宋"/>
          <w:color w:val="auto"/>
          <w:szCs w:val="28"/>
        </w:rPr>
      </w:pPr>
      <w:r>
        <w:rPr>
          <w:rFonts w:ascii="Times New Roman" w:hAnsi="Times New Roman" w:eastAsia="仿宋"/>
          <w:color w:val="auto"/>
          <w:szCs w:val="28"/>
        </w:rPr>
        <w:t xml:space="preserve">比选项目名称：                                                 </w:t>
      </w:r>
    </w:p>
    <w:tbl>
      <w:tblPr>
        <w:tblStyle w:val="19"/>
        <w:tblW w:w="963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4"/>
        <w:gridCol w:w="3617"/>
        <w:gridCol w:w="4531"/>
      </w:tblGrid>
      <w:tr w14:paraId="06A2D1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8" w:hRule="atLeast"/>
          <w:jc w:val="center"/>
        </w:trPr>
        <w:tc>
          <w:tcPr>
            <w:tcW w:w="1484" w:type="dxa"/>
            <w:tcBorders>
              <w:top w:val="single" w:color="auto" w:sz="4" w:space="0"/>
              <w:left w:val="single" w:color="auto" w:sz="4" w:space="0"/>
              <w:bottom w:val="single" w:color="auto" w:sz="4" w:space="0"/>
              <w:right w:val="single" w:color="auto" w:sz="4" w:space="0"/>
            </w:tcBorders>
            <w:vAlign w:val="center"/>
          </w:tcPr>
          <w:p w14:paraId="42B01707">
            <w:pPr>
              <w:spacing w:line="400" w:lineRule="exact"/>
              <w:ind w:firstLine="0" w:firstLineChars="0"/>
              <w:rPr>
                <w:rFonts w:ascii="Times New Roman" w:hAnsi="Times New Roman" w:eastAsia="仿宋"/>
                <w:color w:val="auto"/>
                <w:sz w:val="22"/>
                <w:szCs w:val="22"/>
              </w:rPr>
            </w:pPr>
            <w:r>
              <w:rPr>
                <w:rFonts w:ascii="Times New Roman" w:hAnsi="Times New Roman" w:eastAsia="仿宋"/>
                <w:color w:val="auto"/>
                <w:sz w:val="22"/>
                <w:szCs w:val="22"/>
              </w:rPr>
              <w:t>参选人名称</w:t>
            </w:r>
          </w:p>
        </w:tc>
        <w:tc>
          <w:tcPr>
            <w:tcW w:w="8148" w:type="dxa"/>
            <w:gridSpan w:val="2"/>
            <w:tcBorders>
              <w:top w:val="single" w:color="auto" w:sz="4" w:space="0"/>
              <w:left w:val="nil"/>
              <w:bottom w:val="single" w:color="auto" w:sz="4" w:space="0"/>
              <w:right w:val="single" w:color="auto" w:sz="4" w:space="0"/>
            </w:tcBorders>
            <w:vAlign w:val="center"/>
          </w:tcPr>
          <w:p w14:paraId="787048B9">
            <w:pPr>
              <w:spacing w:line="500" w:lineRule="exact"/>
              <w:ind w:firstLine="440"/>
              <w:jc w:val="center"/>
              <w:rPr>
                <w:rFonts w:ascii="Times New Roman" w:hAnsi="Times New Roman" w:eastAsia="仿宋"/>
                <w:color w:val="auto"/>
                <w:sz w:val="22"/>
                <w:szCs w:val="22"/>
              </w:rPr>
            </w:pPr>
          </w:p>
        </w:tc>
      </w:tr>
      <w:tr w14:paraId="570E1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9" w:hRule="atLeast"/>
          <w:jc w:val="center"/>
        </w:trPr>
        <w:tc>
          <w:tcPr>
            <w:tcW w:w="1484" w:type="dxa"/>
            <w:tcBorders>
              <w:top w:val="single" w:color="auto" w:sz="4" w:space="0"/>
              <w:left w:val="single" w:color="auto" w:sz="4" w:space="0"/>
              <w:right w:val="single" w:color="auto" w:sz="4" w:space="0"/>
            </w:tcBorders>
            <w:vAlign w:val="center"/>
          </w:tcPr>
          <w:p w14:paraId="2F4FC61B">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序号</w:t>
            </w:r>
          </w:p>
        </w:tc>
        <w:tc>
          <w:tcPr>
            <w:tcW w:w="3617" w:type="dxa"/>
            <w:tcBorders>
              <w:top w:val="single" w:color="auto" w:sz="4" w:space="0"/>
              <w:left w:val="single" w:color="auto" w:sz="4" w:space="0"/>
              <w:right w:val="single" w:color="auto" w:sz="4" w:space="0"/>
            </w:tcBorders>
            <w:vAlign w:val="center"/>
          </w:tcPr>
          <w:p w14:paraId="226FC663">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项目名称</w:t>
            </w:r>
          </w:p>
        </w:tc>
        <w:tc>
          <w:tcPr>
            <w:tcW w:w="4531" w:type="dxa"/>
            <w:tcBorders>
              <w:top w:val="single" w:color="auto" w:sz="4" w:space="0"/>
              <w:left w:val="single" w:color="auto" w:sz="4" w:space="0"/>
              <w:right w:val="single" w:color="auto" w:sz="4" w:space="0"/>
            </w:tcBorders>
            <w:vAlign w:val="center"/>
          </w:tcPr>
          <w:p w14:paraId="351A8FDE">
            <w:pPr>
              <w:spacing w:line="400" w:lineRule="exact"/>
              <w:ind w:firstLine="0" w:firstLineChars="0"/>
              <w:jc w:val="center"/>
              <w:rPr>
                <w:rFonts w:ascii="Times New Roman" w:hAnsi="Times New Roman" w:eastAsia="仿宋"/>
                <w:color w:val="auto"/>
                <w:sz w:val="22"/>
                <w:szCs w:val="22"/>
              </w:rPr>
            </w:pPr>
            <w:r>
              <w:rPr>
                <w:rFonts w:ascii="Times New Roman" w:hAnsi="Times New Roman" w:eastAsia="仿宋"/>
                <w:color w:val="auto"/>
                <w:sz w:val="22"/>
                <w:szCs w:val="22"/>
              </w:rPr>
              <w:t>服务期</w:t>
            </w:r>
          </w:p>
        </w:tc>
      </w:tr>
      <w:tr w14:paraId="089AB8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5" w:hRule="atLeast"/>
          <w:jc w:val="center"/>
        </w:trPr>
        <w:tc>
          <w:tcPr>
            <w:tcW w:w="1484" w:type="dxa"/>
            <w:tcBorders>
              <w:top w:val="single" w:color="auto" w:sz="4" w:space="0"/>
              <w:left w:val="single" w:color="auto" w:sz="4" w:space="0"/>
              <w:right w:val="single" w:color="auto" w:sz="4" w:space="0"/>
            </w:tcBorders>
            <w:vAlign w:val="center"/>
          </w:tcPr>
          <w:p w14:paraId="51C499F4">
            <w:pPr>
              <w:spacing w:line="400" w:lineRule="exact"/>
              <w:ind w:firstLine="0" w:firstLineChars="0"/>
              <w:jc w:val="center"/>
              <w:rPr>
                <w:rFonts w:ascii="Times New Roman" w:hAnsi="Times New Roman" w:eastAsia="仿宋"/>
                <w:color w:val="auto"/>
                <w:sz w:val="22"/>
                <w:szCs w:val="22"/>
              </w:rPr>
            </w:pPr>
          </w:p>
        </w:tc>
        <w:tc>
          <w:tcPr>
            <w:tcW w:w="3617" w:type="dxa"/>
            <w:tcBorders>
              <w:top w:val="single" w:color="auto" w:sz="4" w:space="0"/>
              <w:left w:val="single" w:color="auto" w:sz="4" w:space="0"/>
              <w:right w:val="single" w:color="auto" w:sz="4" w:space="0"/>
            </w:tcBorders>
            <w:vAlign w:val="center"/>
          </w:tcPr>
          <w:p w14:paraId="7E52FAE8">
            <w:pPr>
              <w:spacing w:line="400" w:lineRule="exact"/>
              <w:ind w:firstLine="0" w:firstLineChars="0"/>
              <w:jc w:val="center"/>
              <w:rPr>
                <w:rFonts w:ascii="Times New Roman" w:hAnsi="Times New Roman" w:eastAsia="仿宋"/>
                <w:color w:val="auto"/>
                <w:sz w:val="22"/>
                <w:szCs w:val="22"/>
              </w:rPr>
            </w:pPr>
          </w:p>
        </w:tc>
        <w:tc>
          <w:tcPr>
            <w:tcW w:w="4531" w:type="dxa"/>
            <w:tcBorders>
              <w:top w:val="single" w:color="auto" w:sz="4" w:space="0"/>
              <w:left w:val="single" w:color="auto" w:sz="4" w:space="0"/>
              <w:right w:val="single" w:color="auto" w:sz="4" w:space="0"/>
            </w:tcBorders>
            <w:vAlign w:val="center"/>
          </w:tcPr>
          <w:p w14:paraId="50708B3E">
            <w:pPr>
              <w:spacing w:line="400" w:lineRule="exact"/>
              <w:ind w:firstLine="0" w:firstLineChars="0"/>
              <w:jc w:val="center"/>
              <w:rPr>
                <w:rFonts w:ascii="Times New Roman" w:hAnsi="Times New Roman" w:eastAsia="仿宋"/>
                <w:color w:val="auto"/>
                <w:sz w:val="22"/>
                <w:szCs w:val="22"/>
              </w:rPr>
            </w:pPr>
          </w:p>
        </w:tc>
      </w:tr>
      <w:tr w14:paraId="35B47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00" w:hRule="atLeast"/>
          <w:jc w:val="center"/>
        </w:trPr>
        <w:tc>
          <w:tcPr>
            <w:tcW w:w="9632" w:type="dxa"/>
            <w:gridSpan w:val="3"/>
            <w:tcBorders>
              <w:top w:val="single" w:color="auto" w:sz="4" w:space="0"/>
              <w:left w:val="single" w:color="auto" w:sz="4" w:space="0"/>
              <w:right w:val="single" w:color="auto" w:sz="4" w:space="0"/>
            </w:tcBorders>
            <w:vAlign w:val="center"/>
          </w:tcPr>
          <w:p w14:paraId="32991481">
            <w:pPr>
              <w:pStyle w:val="11"/>
              <w:spacing w:line="500" w:lineRule="exact"/>
              <w:ind w:left="0" w:leftChars="0" w:firstLine="0" w:firstLineChars="0"/>
              <w:jc w:val="center"/>
              <w:rPr>
                <w:rFonts w:ascii="Times New Roman" w:hAnsi="Times New Roman" w:eastAsia="仿宋" w:cs="Times New Roman"/>
                <w:b/>
                <w:color w:val="auto"/>
                <w:sz w:val="22"/>
                <w:szCs w:val="22"/>
              </w:rPr>
            </w:pPr>
            <w:r>
              <w:rPr>
                <w:rFonts w:ascii="Times New Roman" w:hAnsi="Times New Roman" w:eastAsia="仿宋" w:cs="Times New Roman"/>
                <w:b/>
                <w:color w:val="auto"/>
                <w:sz w:val="22"/>
                <w:szCs w:val="22"/>
              </w:rPr>
              <w:t>比选报价</w:t>
            </w:r>
          </w:p>
        </w:tc>
      </w:tr>
      <w:tr w14:paraId="29C02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92" w:hRule="atLeast"/>
          <w:jc w:val="center"/>
        </w:trPr>
        <w:tc>
          <w:tcPr>
            <w:tcW w:w="1484" w:type="dxa"/>
            <w:vMerge w:val="restart"/>
            <w:tcBorders>
              <w:left w:val="single" w:color="auto" w:sz="4" w:space="0"/>
              <w:right w:val="single" w:color="auto" w:sz="4" w:space="0"/>
            </w:tcBorders>
            <w:vAlign w:val="center"/>
          </w:tcPr>
          <w:p w14:paraId="67592CC9">
            <w:pPr>
              <w:pStyle w:val="11"/>
              <w:spacing w:line="500" w:lineRule="exact"/>
              <w:ind w:left="0" w:leftChars="0" w:firstLine="0" w:firstLineChars="0"/>
              <w:jc w:val="center"/>
              <w:rPr>
                <w:rFonts w:ascii="Times New Roman" w:hAnsi="Times New Roman" w:eastAsia="仿宋" w:cs="Times New Roman"/>
                <w:b/>
                <w:color w:val="auto"/>
                <w:sz w:val="22"/>
                <w:szCs w:val="22"/>
              </w:rPr>
            </w:pPr>
            <w:r>
              <w:rPr>
                <w:rFonts w:ascii="Times New Roman" w:hAnsi="Times New Roman" w:eastAsia="仿宋" w:cs="Times New Roman"/>
                <w:b/>
                <w:color w:val="auto"/>
                <w:sz w:val="22"/>
                <w:szCs w:val="22"/>
              </w:rPr>
              <w:t>比选报价</w:t>
            </w:r>
          </w:p>
        </w:tc>
        <w:tc>
          <w:tcPr>
            <w:tcW w:w="8148" w:type="dxa"/>
            <w:gridSpan w:val="2"/>
            <w:tcBorders>
              <w:top w:val="single" w:color="auto" w:sz="4" w:space="0"/>
              <w:left w:val="single" w:color="auto" w:sz="4" w:space="0"/>
              <w:bottom w:val="single" w:color="auto" w:sz="4" w:space="0"/>
              <w:right w:val="single" w:color="auto" w:sz="4" w:space="0"/>
            </w:tcBorders>
            <w:vAlign w:val="center"/>
          </w:tcPr>
          <w:p w14:paraId="6317F934">
            <w:pPr>
              <w:widowControl/>
              <w:spacing w:line="400" w:lineRule="exact"/>
              <w:ind w:firstLine="0" w:firstLineChars="0"/>
              <w:jc w:val="left"/>
              <w:rPr>
                <w:rFonts w:ascii="Times New Roman" w:hAnsi="Times New Roman" w:eastAsia="仿宋"/>
                <w:color w:val="auto"/>
                <w:sz w:val="22"/>
                <w:szCs w:val="22"/>
              </w:rPr>
            </w:pPr>
            <w:r>
              <w:rPr>
                <w:rFonts w:ascii="Times New Roman" w:hAnsi="Times New Roman" w:eastAsia="仿宋"/>
                <w:b/>
                <w:color w:val="auto"/>
                <w:sz w:val="22"/>
                <w:szCs w:val="22"/>
              </w:rPr>
              <w:t>小写（元）：</w:t>
            </w:r>
          </w:p>
        </w:tc>
      </w:tr>
      <w:tr w14:paraId="545885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84" w:hRule="atLeast"/>
          <w:jc w:val="center"/>
        </w:trPr>
        <w:tc>
          <w:tcPr>
            <w:tcW w:w="1484" w:type="dxa"/>
            <w:vMerge w:val="continue"/>
            <w:tcBorders>
              <w:left w:val="single" w:color="auto" w:sz="4" w:space="0"/>
              <w:bottom w:val="single" w:color="auto" w:sz="4" w:space="0"/>
              <w:right w:val="single" w:color="auto" w:sz="4" w:space="0"/>
            </w:tcBorders>
            <w:vAlign w:val="center"/>
          </w:tcPr>
          <w:p w14:paraId="4B823744">
            <w:pPr>
              <w:pStyle w:val="11"/>
              <w:spacing w:line="500" w:lineRule="exact"/>
              <w:ind w:left="0" w:leftChars="0" w:firstLine="0" w:firstLineChars="0"/>
              <w:jc w:val="left"/>
              <w:rPr>
                <w:rFonts w:ascii="Times New Roman" w:hAnsi="Times New Roman" w:eastAsia="仿宋" w:cs="Times New Roman"/>
                <w:b/>
                <w:color w:val="auto"/>
                <w:sz w:val="22"/>
                <w:szCs w:val="22"/>
              </w:rPr>
            </w:pPr>
          </w:p>
        </w:tc>
        <w:tc>
          <w:tcPr>
            <w:tcW w:w="8148" w:type="dxa"/>
            <w:gridSpan w:val="2"/>
            <w:tcBorders>
              <w:top w:val="single" w:color="auto" w:sz="4" w:space="0"/>
              <w:left w:val="single" w:color="auto" w:sz="4" w:space="0"/>
              <w:bottom w:val="single" w:color="auto" w:sz="4" w:space="0"/>
              <w:right w:val="single" w:color="auto" w:sz="4" w:space="0"/>
            </w:tcBorders>
            <w:vAlign w:val="center"/>
          </w:tcPr>
          <w:p w14:paraId="5D8F0FA8">
            <w:pPr>
              <w:widowControl/>
              <w:spacing w:line="400" w:lineRule="exact"/>
              <w:ind w:firstLine="0" w:firstLineChars="0"/>
              <w:jc w:val="left"/>
              <w:rPr>
                <w:rFonts w:ascii="Times New Roman" w:hAnsi="Times New Roman" w:eastAsia="仿宋"/>
                <w:color w:val="auto"/>
                <w:sz w:val="22"/>
                <w:szCs w:val="22"/>
              </w:rPr>
            </w:pPr>
            <w:r>
              <w:rPr>
                <w:rFonts w:ascii="Times New Roman" w:hAnsi="Times New Roman" w:eastAsia="仿宋"/>
                <w:b/>
                <w:color w:val="auto"/>
                <w:sz w:val="22"/>
                <w:szCs w:val="22"/>
              </w:rPr>
              <w:t>大写（元）：</w:t>
            </w:r>
          </w:p>
        </w:tc>
      </w:tr>
      <w:tr w14:paraId="391C3A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3" w:hRule="atLeast"/>
          <w:jc w:val="center"/>
        </w:trPr>
        <w:tc>
          <w:tcPr>
            <w:tcW w:w="9632" w:type="dxa"/>
            <w:gridSpan w:val="3"/>
            <w:tcBorders>
              <w:top w:val="single" w:color="auto" w:sz="4" w:space="0"/>
              <w:left w:val="single" w:color="auto" w:sz="4" w:space="0"/>
              <w:bottom w:val="single" w:color="auto" w:sz="4" w:space="0"/>
              <w:right w:val="single" w:color="auto" w:sz="4" w:space="0"/>
            </w:tcBorders>
            <w:vAlign w:val="center"/>
          </w:tcPr>
          <w:p w14:paraId="630E5D40">
            <w:pPr>
              <w:spacing w:line="560" w:lineRule="exact"/>
              <w:ind w:firstLine="209" w:firstLineChars="95"/>
              <w:rPr>
                <w:rFonts w:ascii="Times New Roman" w:hAnsi="Times New Roman" w:eastAsia="仿宋"/>
                <w:color w:val="auto"/>
                <w:sz w:val="22"/>
                <w:szCs w:val="22"/>
              </w:rPr>
            </w:pPr>
            <w:r>
              <w:rPr>
                <w:rFonts w:ascii="Times New Roman" w:hAnsi="Times New Roman" w:eastAsia="仿宋"/>
                <w:color w:val="auto"/>
                <w:sz w:val="22"/>
                <w:szCs w:val="22"/>
              </w:rPr>
              <w:t>备注：</w:t>
            </w:r>
          </w:p>
        </w:tc>
      </w:tr>
    </w:tbl>
    <w:p w14:paraId="0B0454FF">
      <w:pPr>
        <w:pStyle w:val="11"/>
        <w:spacing w:line="500" w:lineRule="exact"/>
        <w:ind w:left="0" w:leftChars="0" w:firstLine="0" w:firstLineChars="0"/>
        <w:rPr>
          <w:rFonts w:ascii="Times New Roman" w:hAnsi="Times New Roman" w:eastAsia="仿宋" w:cs="Times New Roman"/>
          <w:color w:val="auto"/>
          <w:szCs w:val="28"/>
        </w:rPr>
      </w:pPr>
    </w:p>
    <w:p w14:paraId="403D730F">
      <w:pPr>
        <w:spacing w:line="500" w:lineRule="exact"/>
        <w:ind w:firstLine="560"/>
        <w:rPr>
          <w:rFonts w:ascii="Times New Roman" w:hAnsi="Times New Roman" w:eastAsia="仿宋"/>
          <w:color w:val="auto"/>
          <w:szCs w:val="28"/>
        </w:rPr>
      </w:pPr>
      <w:r>
        <w:rPr>
          <w:rFonts w:ascii="Times New Roman" w:hAnsi="Times New Roman" w:eastAsia="仿宋"/>
          <w:color w:val="auto"/>
          <w:szCs w:val="28"/>
        </w:rPr>
        <w:t>参选人：                      法定代表人或法定代表人授权代表：</w:t>
      </w:r>
    </w:p>
    <w:p w14:paraId="1073D7AD">
      <w:pPr>
        <w:spacing w:line="500" w:lineRule="exact"/>
        <w:ind w:firstLine="0" w:firstLineChars="0"/>
        <w:rPr>
          <w:rFonts w:ascii="Times New Roman" w:hAnsi="Times New Roman" w:eastAsia="仿宋"/>
          <w:color w:val="auto"/>
          <w:szCs w:val="28"/>
        </w:rPr>
      </w:pPr>
      <w:r>
        <w:rPr>
          <w:rFonts w:ascii="Times New Roman" w:hAnsi="Times New Roman" w:eastAsia="仿宋"/>
          <w:color w:val="auto"/>
          <w:szCs w:val="28"/>
        </w:rPr>
        <w:t>（参选人公章）                               （签字或盖章）</w:t>
      </w:r>
    </w:p>
    <w:p w14:paraId="4725B76D">
      <w:pPr>
        <w:spacing w:line="500" w:lineRule="exact"/>
        <w:ind w:firstLine="560"/>
        <w:rPr>
          <w:rFonts w:ascii="Times New Roman" w:hAnsi="Times New Roman" w:eastAsia="仿宋"/>
          <w:color w:val="auto"/>
          <w:sz w:val="24"/>
        </w:rPr>
      </w:pPr>
      <w:r>
        <w:rPr>
          <w:rFonts w:ascii="Times New Roman" w:hAnsi="Times New Roman" w:eastAsia="仿宋"/>
          <w:color w:val="auto"/>
          <w:szCs w:val="28"/>
        </w:rPr>
        <w:t xml:space="preserve">                                         年     月  </w:t>
      </w:r>
      <w:r>
        <w:rPr>
          <w:rFonts w:ascii="Times New Roman" w:hAnsi="Times New Roman" w:eastAsia="仿宋"/>
          <w:color w:val="auto"/>
          <w:sz w:val="24"/>
        </w:rPr>
        <w:t xml:space="preserve">   </w:t>
      </w:r>
      <w:r>
        <w:rPr>
          <w:rFonts w:ascii="Times New Roman" w:hAnsi="Times New Roman" w:eastAsia="仿宋"/>
          <w:color w:val="auto"/>
          <w:szCs w:val="28"/>
        </w:rPr>
        <w:t>日</w:t>
      </w:r>
    </w:p>
    <w:p w14:paraId="0CFAB78D">
      <w:pPr>
        <w:spacing w:line="500" w:lineRule="exact"/>
        <w:ind w:firstLine="480"/>
        <w:rPr>
          <w:rFonts w:ascii="Times New Roman" w:hAnsi="Times New Roman" w:eastAsia="仿宋"/>
          <w:color w:val="auto"/>
          <w:sz w:val="24"/>
        </w:rPr>
      </w:pPr>
      <w:r>
        <w:rPr>
          <w:rFonts w:ascii="Times New Roman" w:hAnsi="Times New Roman" w:eastAsia="仿宋"/>
          <w:color w:val="auto"/>
          <w:sz w:val="24"/>
        </w:rPr>
        <w:t>说明：</w:t>
      </w:r>
    </w:p>
    <w:p w14:paraId="096065BB">
      <w:pPr>
        <w:spacing w:line="500" w:lineRule="exact"/>
        <w:ind w:firstLine="480"/>
        <w:rPr>
          <w:rFonts w:ascii="Times New Roman" w:hAnsi="Times New Roman" w:eastAsia="仿宋"/>
          <w:color w:val="auto"/>
          <w:sz w:val="24"/>
        </w:rPr>
      </w:pPr>
      <w:r>
        <w:rPr>
          <w:rFonts w:ascii="Times New Roman" w:hAnsi="Times New Roman" w:eastAsia="仿宋"/>
          <w:color w:val="auto"/>
          <w:sz w:val="24"/>
        </w:rPr>
        <w:t>1.报价一览表按格式填列；</w:t>
      </w:r>
    </w:p>
    <w:p w14:paraId="522B71AD">
      <w:pPr>
        <w:spacing w:line="500" w:lineRule="exact"/>
        <w:ind w:firstLine="480"/>
        <w:rPr>
          <w:rFonts w:ascii="Times New Roman" w:hAnsi="Times New Roman" w:eastAsia="仿宋"/>
          <w:color w:val="auto"/>
          <w:sz w:val="24"/>
        </w:rPr>
      </w:pPr>
      <w:r>
        <w:rPr>
          <w:rFonts w:ascii="Times New Roman" w:hAnsi="Times New Roman" w:eastAsia="仿宋"/>
          <w:color w:val="auto"/>
          <w:sz w:val="24"/>
        </w:rPr>
        <w:t>2.报价一览表在比选现场上当众宣读，务必填写清楚，准确无误</w:t>
      </w:r>
      <w:bookmarkEnd w:id="156"/>
      <w:r>
        <w:rPr>
          <w:rFonts w:ascii="Times New Roman" w:hAnsi="Times New Roman" w:eastAsia="仿宋"/>
          <w:color w:val="auto"/>
          <w:sz w:val="24"/>
        </w:rPr>
        <w:t>。</w:t>
      </w:r>
    </w:p>
    <w:p w14:paraId="67B4E345">
      <w:pPr>
        <w:pStyle w:val="8"/>
        <w:ind w:firstLine="0" w:firstLineChars="0"/>
        <w:rPr>
          <w:rFonts w:eastAsia="仿宋"/>
          <w:color w:val="auto"/>
        </w:rPr>
      </w:pPr>
    </w:p>
    <w:p w14:paraId="217FBDB6">
      <w:pPr>
        <w:ind w:firstLine="0" w:firstLineChars="0"/>
        <w:rPr>
          <w:rFonts w:ascii="Times New Roman" w:hAnsi="Times New Roman" w:eastAsia="仿宋"/>
          <w:color w:val="auto"/>
        </w:rPr>
      </w:pPr>
    </w:p>
    <w:p w14:paraId="3C9DBB52">
      <w:pPr>
        <w:pStyle w:val="25"/>
        <w:ind w:firstLine="0" w:firstLineChars="0"/>
        <w:rPr>
          <w:color w:val="auto"/>
        </w:rPr>
      </w:pPr>
    </w:p>
    <w:p w14:paraId="0A280837">
      <w:pPr>
        <w:widowControl/>
        <w:numPr>
          <w:ilvl w:val="0"/>
          <w:numId w:val="6"/>
        </w:numPr>
        <w:ind w:firstLine="0" w:firstLineChars="0"/>
        <w:jc w:val="left"/>
        <w:rPr>
          <w:rFonts w:ascii="Times New Roman" w:hAnsi="Times New Roman" w:eastAsia="仿宋"/>
          <w:b/>
          <w:color w:val="auto"/>
          <w:szCs w:val="28"/>
        </w:rPr>
      </w:pPr>
      <w:r>
        <w:rPr>
          <w:rFonts w:ascii="Times New Roman" w:hAnsi="Times New Roman" w:eastAsia="仿宋"/>
          <w:b/>
          <w:color w:val="auto"/>
          <w:szCs w:val="28"/>
        </w:rPr>
        <w:t>服务</w:t>
      </w:r>
      <w:r>
        <w:rPr>
          <w:rStyle w:val="23"/>
          <w:rFonts w:hint="eastAsia" w:ascii="Times New Roman" w:hAnsi="Times New Roman" w:eastAsia="仿宋"/>
          <w:color w:val="auto"/>
          <w:u w:val="none"/>
        </w:rPr>
        <w:t>/</w:t>
      </w:r>
      <w:r>
        <w:rPr>
          <w:rFonts w:ascii="Times New Roman" w:hAnsi="Times New Roman" w:eastAsia="仿宋"/>
          <w:b/>
          <w:color w:val="auto"/>
          <w:szCs w:val="28"/>
        </w:rPr>
        <w:t>技术文件</w:t>
      </w:r>
    </w:p>
    <w:p w14:paraId="3CCFEE23">
      <w:pPr>
        <w:pStyle w:val="14"/>
        <w:ind w:firstLine="480"/>
      </w:pPr>
    </w:p>
    <w:p w14:paraId="0FEF8B7C">
      <w:pPr>
        <w:widowControl/>
        <w:numPr>
          <w:ilvl w:val="255"/>
          <w:numId w:val="0"/>
        </w:numPr>
        <w:snapToGrid w:val="0"/>
        <w:spacing w:line="500" w:lineRule="exact"/>
        <w:ind w:firstLine="560"/>
        <w:jc w:val="left"/>
        <w:rPr>
          <w:rFonts w:ascii="仿宋" w:hAnsi="仿宋" w:eastAsia="仿宋"/>
          <w:color w:val="000000"/>
        </w:rPr>
      </w:pPr>
      <w:r>
        <w:rPr>
          <w:rFonts w:hint="eastAsia" w:ascii="仿宋" w:hAnsi="仿宋" w:eastAsia="仿宋"/>
          <w:color w:val="000000"/>
        </w:rPr>
        <w:t>1.服务要求应答承诺书</w:t>
      </w:r>
    </w:p>
    <w:p w14:paraId="73C6D48F">
      <w:pPr>
        <w:tabs>
          <w:tab w:val="left" w:pos="6300"/>
        </w:tabs>
        <w:snapToGrid w:val="0"/>
        <w:spacing w:line="500" w:lineRule="exact"/>
        <w:ind w:firstLine="0" w:firstLineChars="0"/>
        <w:rPr>
          <w:rFonts w:ascii="方正仿宋_GBK" w:hAnsi="方正仿宋_GBK" w:cs="方正仿宋_GBK"/>
          <w:color w:val="auto"/>
          <w:sz w:val="21"/>
          <w:szCs w:val="21"/>
        </w:rPr>
      </w:pPr>
    </w:p>
    <w:p w14:paraId="2DD55ADA">
      <w:pPr>
        <w:tabs>
          <w:tab w:val="left" w:pos="6300"/>
        </w:tabs>
        <w:snapToGrid w:val="0"/>
        <w:spacing w:line="500" w:lineRule="exact"/>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服务要求应答承诺书</w:t>
      </w:r>
    </w:p>
    <w:p w14:paraId="6D0B1C0F">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比选项目名称：</w:t>
      </w:r>
    </w:p>
    <w:p w14:paraId="5E40547F">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（采购人名称）</w:t>
      </w:r>
    </w:p>
    <w:p w14:paraId="64F67F73">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郑重承诺：</w:t>
      </w:r>
    </w:p>
    <w:p w14:paraId="5F844D85">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1﹒我方承诺应答并完全满足竞争性比选文件第二篇“项目服务需求”中所提出的全部技术服务条款要求，否则自愿被评定为无效参选。</w:t>
      </w:r>
    </w:p>
    <w:p w14:paraId="719ED2F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承诺，若我方中标，在项目实施过程中，我方未遵守和执行竞争性比选文件第二篇“项目服务需求”和我方响应文件中承诺优于竞争性比选文件要求的技术服务条款时，我方自愿随时被采购人终止并解除服务合同，由本公司自行承担一切相应的损失。</w:t>
      </w:r>
    </w:p>
    <w:p w14:paraId="75110E6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3﹒我方承诺优于比选项目技术服务需求的内容如下：</w:t>
      </w:r>
    </w:p>
    <w:p w14:paraId="2A632F42">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w:t>
      </w:r>
    </w:p>
    <w:p w14:paraId="3A18D1B7">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w:t>
      </w:r>
    </w:p>
    <w:p w14:paraId="6532320B">
      <w:pPr>
        <w:tabs>
          <w:tab w:val="left" w:pos="6300"/>
        </w:tabs>
        <w:snapToGrid w:val="0"/>
        <w:spacing w:line="500" w:lineRule="exact"/>
        <w:ind w:firstLine="560"/>
        <w:rPr>
          <w:rFonts w:ascii="方正仿宋_GBK" w:hAnsi="方正仿宋_GBK" w:cs="方正仿宋_GBK"/>
          <w:color w:val="auto"/>
          <w:szCs w:val="28"/>
        </w:rPr>
      </w:pPr>
    </w:p>
    <w:p w14:paraId="51B6C4A9">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（如果有，请参选人逐条对照列示。）</w:t>
      </w:r>
    </w:p>
    <w:p w14:paraId="6BA35A1D">
      <w:pPr>
        <w:tabs>
          <w:tab w:val="left" w:pos="6300"/>
        </w:tabs>
        <w:snapToGrid w:val="0"/>
        <w:spacing w:line="500" w:lineRule="exact"/>
        <w:ind w:firstLine="560" w:firstLineChars="0"/>
        <w:rPr>
          <w:rFonts w:ascii="方正仿宋_GBK" w:hAnsi="方正仿宋_GBK" w:cs="方正仿宋_GBK"/>
          <w:color w:val="auto"/>
          <w:szCs w:val="28"/>
        </w:rPr>
      </w:pPr>
    </w:p>
    <w:p w14:paraId="74C4F8C0">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法定代表人（或代理人）签名或盖章：</w:t>
      </w:r>
    </w:p>
    <w:p w14:paraId="4387E572">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法定代表人（或代理人）联系电话：</w:t>
      </w:r>
    </w:p>
    <w:p w14:paraId="4F7A1E74">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1AEF3264">
      <w:pPr>
        <w:tabs>
          <w:tab w:val="left" w:pos="6300"/>
        </w:tabs>
        <w:snapToGrid w:val="0"/>
        <w:spacing w:line="500" w:lineRule="exact"/>
        <w:ind w:firstLine="560" w:firstLineChars="0"/>
        <w:jc w:val="right"/>
        <w:rPr>
          <w:rFonts w:ascii="宋体" w:hAnsi="宋体" w:eastAsia="宋体" w:cs="宋体"/>
          <w:color w:val="auto"/>
          <w:szCs w:val="28"/>
        </w:rPr>
      </w:pPr>
      <w:r>
        <w:rPr>
          <w:rFonts w:hint="eastAsia" w:ascii="方正仿宋_GBK" w:hAnsi="方正仿宋_GBK" w:cs="方正仿宋_GBK"/>
          <w:color w:val="auto"/>
          <w:szCs w:val="28"/>
        </w:rPr>
        <w:t>年   月   日</w:t>
      </w:r>
    </w:p>
    <w:p w14:paraId="656CEF88">
      <w:pPr>
        <w:snapToGrid w:val="0"/>
        <w:spacing w:line="560" w:lineRule="exact"/>
        <w:ind w:firstLine="0" w:firstLineChars="0"/>
        <w:rPr>
          <w:rFonts w:ascii="Times New Roman" w:hAnsi="Times New Roman" w:eastAsia="仿宋"/>
          <w:color w:val="auto"/>
        </w:rPr>
      </w:pPr>
    </w:p>
    <w:p w14:paraId="1F2E2001">
      <w:pPr>
        <w:widowControl/>
        <w:snapToGrid w:val="0"/>
        <w:spacing w:line="500" w:lineRule="exact"/>
        <w:ind w:firstLine="0" w:firstLineChars="0"/>
        <w:jc w:val="left"/>
        <w:rPr>
          <w:rFonts w:ascii="仿宋" w:hAnsi="仿宋" w:eastAsia="仿宋"/>
          <w:color w:val="000000"/>
        </w:rPr>
      </w:pPr>
      <w:r>
        <w:rPr>
          <w:rFonts w:hint="eastAsia" w:ascii="仿宋" w:hAnsi="仿宋" w:eastAsia="仿宋"/>
          <w:color w:val="000000"/>
        </w:rPr>
        <w:t>2.其他服务技术部分资料</w:t>
      </w:r>
    </w:p>
    <w:p w14:paraId="478E99E8">
      <w:pPr>
        <w:widowControl/>
        <w:ind w:firstLine="0" w:firstLineChars="0"/>
        <w:jc w:val="left"/>
        <w:rPr>
          <w:rFonts w:ascii="Times New Roman" w:hAnsi="Times New Roman" w:eastAsia="仿宋"/>
          <w:color w:val="auto"/>
          <w:szCs w:val="28"/>
        </w:rPr>
      </w:pPr>
    </w:p>
    <w:p w14:paraId="44B3476D">
      <w:pPr>
        <w:widowControl/>
        <w:ind w:firstLine="0" w:firstLineChars="0"/>
        <w:jc w:val="left"/>
        <w:rPr>
          <w:rFonts w:ascii="Times New Roman" w:hAnsi="Times New Roman" w:eastAsia="仿宋"/>
          <w:color w:val="auto"/>
          <w:szCs w:val="28"/>
        </w:rPr>
      </w:pPr>
    </w:p>
    <w:p w14:paraId="2CC7FAE3">
      <w:pPr>
        <w:widowControl/>
        <w:ind w:firstLine="0" w:firstLineChars="0"/>
        <w:jc w:val="left"/>
        <w:rPr>
          <w:rFonts w:ascii="Times New Roman" w:hAnsi="Times New Roman" w:eastAsia="仿宋"/>
          <w:color w:val="auto"/>
          <w:szCs w:val="28"/>
        </w:rPr>
      </w:pPr>
    </w:p>
    <w:p w14:paraId="0EF0AB96">
      <w:pPr>
        <w:widowControl/>
        <w:ind w:firstLine="0" w:firstLineChars="0"/>
        <w:jc w:val="left"/>
        <w:rPr>
          <w:rFonts w:ascii="Times New Roman" w:hAnsi="Times New Roman" w:eastAsia="仿宋"/>
          <w:color w:val="auto"/>
          <w:szCs w:val="28"/>
        </w:rPr>
      </w:pPr>
    </w:p>
    <w:p w14:paraId="41F35A28">
      <w:pPr>
        <w:widowControl/>
        <w:ind w:firstLine="0" w:firstLineChars="0"/>
        <w:jc w:val="left"/>
        <w:rPr>
          <w:rFonts w:ascii="Times New Roman" w:hAnsi="Times New Roman" w:eastAsia="仿宋"/>
          <w:color w:val="auto"/>
          <w:szCs w:val="28"/>
        </w:rPr>
      </w:pPr>
    </w:p>
    <w:p w14:paraId="2FD68101">
      <w:pPr>
        <w:widowControl/>
        <w:ind w:firstLine="0" w:firstLineChars="0"/>
        <w:jc w:val="left"/>
        <w:rPr>
          <w:rFonts w:ascii="Times New Roman" w:hAnsi="Times New Roman" w:eastAsia="仿宋"/>
          <w:color w:val="auto"/>
          <w:szCs w:val="28"/>
        </w:rPr>
      </w:pPr>
    </w:p>
    <w:p w14:paraId="531FE059">
      <w:pPr>
        <w:widowControl/>
        <w:ind w:firstLine="0" w:firstLineChars="0"/>
        <w:jc w:val="left"/>
        <w:rPr>
          <w:rFonts w:ascii="Times New Roman" w:hAnsi="Times New Roman" w:eastAsia="仿宋"/>
          <w:color w:val="auto"/>
          <w:szCs w:val="28"/>
        </w:rPr>
      </w:pPr>
    </w:p>
    <w:p w14:paraId="08EEA022">
      <w:pPr>
        <w:widowControl/>
        <w:ind w:firstLine="0" w:firstLineChars="0"/>
        <w:jc w:val="left"/>
        <w:rPr>
          <w:rFonts w:ascii="Times New Roman" w:hAnsi="Times New Roman" w:eastAsia="仿宋"/>
          <w:color w:val="auto"/>
          <w:szCs w:val="28"/>
        </w:rPr>
      </w:pPr>
    </w:p>
    <w:p w14:paraId="4581FE1C">
      <w:pPr>
        <w:widowControl/>
        <w:ind w:firstLine="0" w:firstLineChars="0"/>
        <w:jc w:val="left"/>
        <w:rPr>
          <w:rFonts w:ascii="Times New Roman" w:hAnsi="Times New Roman" w:eastAsia="仿宋"/>
          <w:color w:val="auto"/>
          <w:szCs w:val="28"/>
        </w:rPr>
      </w:pPr>
    </w:p>
    <w:p w14:paraId="26FE5622">
      <w:pPr>
        <w:widowControl/>
        <w:ind w:firstLine="0" w:firstLineChars="0"/>
        <w:jc w:val="left"/>
        <w:rPr>
          <w:rFonts w:ascii="Times New Roman" w:hAnsi="Times New Roman" w:eastAsia="仿宋"/>
          <w:color w:val="auto"/>
          <w:szCs w:val="28"/>
        </w:rPr>
      </w:pPr>
    </w:p>
    <w:p w14:paraId="063B27A7">
      <w:pPr>
        <w:widowControl/>
        <w:ind w:firstLine="0" w:firstLineChars="0"/>
        <w:jc w:val="left"/>
        <w:rPr>
          <w:rFonts w:ascii="Times New Roman" w:hAnsi="Times New Roman" w:eastAsia="仿宋"/>
          <w:color w:val="auto"/>
          <w:szCs w:val="28"/>
        </w:rPr>
      </w:pPr>
    </w:p>
    <w:p w14:paraId="266CE838">
      <w:pPr>
        <w:widowControl/>
        <w:ind w:firstLine="0" w:firstLineChars="0"/>
        <w:jc w:val="left"/>
        <w:rPr>
          <w:rFonts w:ascii="Times New Roman" w:hAnsi="Times New Roman" w:eastAsia="仿宋"/>
          <w:color w:val="auto"/>
          <w:szCs w:val="28"/>
        </w:rPr>
      </w:pPr>
    </w:p>
    <w:p w14:paraId="3B1568D0">
      <w:pPr>
        <w:widowControl/>
        <w:ind w:firstLine="0" w:firstLineChars="0"/>
        <w:jc w:val="left"/>
        <w:rPr>
          <w:rFonts w:ascii="Times New Roman" w:hAnsi="Times New Roman" w:eastAsia="仿宋"/>
          <w:color w:val="auto"/>
          <w:szCs w:val="28"/>
        </w:rPr>
      </w:pPr>
    </w:p>
    <w:p w14:paraId="3F62BD71">
      <w:pPr>
        <w:widowControl/>
        <w:ind w:firstLine="0" w:firstLineChars="0"/>
        <w:jc w:val="left"/>
        <w:rPr>
          <w:rFonts w:ascii="Times New Roman" w:hAnsi="Times New Roman" w:eastAsia="仿宋"/>
          <w:color w:val="auto"/>
          <w:szCs w:val="28"/>
        </w:rPr>
      </w:pPr>
    </w:p>
    <w:p w14:paraId="4A0A75A3">
      <w:pPr>
        <w:widowControl/>
        <w:ind w:firstLine="0" w:firstLineChars="0"/>
        <w:jc w:val="left"/>
        <w:rPr>
          <w:rFonts w:ascii="Times New Roman" w:hAnsi="Times New Roman" w:eastAsia="仿宋"/>
          <w:color w:val="auto"/>
          <w:szCs w:val="28"/>
        </w:rPr>
      </w:pPr>
    </w:p>
    <w:p w14:paraId="0E4FC309">
      <w:pPr>
        <w:widowControl/>
        <w:ind w:firstLine="0" w:firstLineChars="0"/>
        <w:jc w:val="left"/>
        <w:rPr>
          <w:rFonts w:ascii="Times New Roman" w:hAnsi="Times New Roman" w:eastAsia="仿宋"/>
          <w:color w:val="auto"/>
          <w:szCs w:val="28"/>
        </w:rPr>
      </w:pPr>
    </w:p>
    <w:p w14:paraId="24F9FB6D">
      <w:pPr>
        <w:widowControl/>
        <w:ind w:firstLine="0" w:firstLineChars="0"/>
        <w:jc w:val="left"/>
        <w:rPr>
          <w:rFonts w:ascii="Times New Roman" w:hAnsi="Times New Roman" w:eastAsia="仿宋"/>
          <w:color w:val="auto"/>
          <w:szCs w:val="28"/>
        </w:rPr>
      </w:pPr>
    </w:p>
    <w:p w14:paraId="252F3F32">
      <w:pPr>
        <w:widowControl/>
        <w:ind w:firstLine="0" w:firstLineChars="0"/>
        <w:jc w:val="left"/>
        <w:rPr>
          <w:rFonts w:ascii="Times New Roman" w:hAnsi="Times New Roman" w:eastAsia="仿宋"/>
          <w:color w:val="auto"/>
          <w:szCs w:val="28"/>
        </w:rPr>
      </w:pPr>
    </w:p>
    <w:p w14:paraId="2098164A">
      <w:pPr>
        <w:widowControl/>
        <w:ind w:firstLine="0" w:firstLineChars="0"/>
        <w:jc w:val="left"/>
        <w:rPr>
          <w:rFonts w:ascii="Times New Roman" w:hAnsi="Times New Roman" w:eastAsia="仿宋"/>
          <w:color w:val="auto"/>
          <w:szCs w:val="28"/>
        </w:rPr>
      </w:pPr>
    </w:p>
    <w:p w14:paraId="059BE669">
      <w:pPr>
        <w:widowControl/>
        <w:ind w:firstLine="0" w:firstLineChars="0"/>
        <w:jc w:val="left"/>
        <w:rPr>
          <w:rFonts w:ascii="Times New Roman" w:hAnsi="Times New Roman" w:eastAsia="仿宋"/>
          <w:color w:val="auto"/>
          <w:szCs w:val="28"/>
        </w:rPr>
      </w:pPr>
    </w:p>
    <w:p w14:paraId="48E2EF3C">
      <w:pPr>
        <w:widowControl/>
        <w:ind w:firstLine="0" w:firstLineChars="0"/>
        <w:jc w:val="left"/>
        <w:rPr>
          <w:rFonts w:ascii="Times New Roman" w:hAnsi="Times New Roman" w:eastAsia="仿宋"/>
          <w:color w:val="auto"/>
          <w:szCs w:val="28"/>
        </w:rPr>
      </w:pPr>
    </w:p>
    <w:p w14:paraId="4500A744">
      <w:pPr>
        <w:widowControl/>
        <w:ind w:firstLine="0" w:firstLineChars="0"/>
        <w:jc w:val="left"/>
        <w:rPr>
          <w:rFonts w:ascii="Times New Roman" w:hAnsi="Times New Roman" w:eastAsia="仿宋"/>
          <w:b/>
          <w:color w:val="auto"/>
          <w:szCs w:val="28"/>
        </w:rPr>
      </w:pPr>
      <w:r>
        <w:rPr>
          <w:rFonts w:ascii="Times New Roman" w:hAnsi="Times New Roman" w:eastAsia="仿宋"/>
          <w:b/>
          <w:color w:val="auto"/>
          <w:szCs w:val="28"/>
        </w:rPr>
        <w:t>三、商务部分</w:t>
      </w:r>
    </w:p>
    <w:p w14:paraId="451DA6B5">
      <w:pPr>
        <w:widowControl/>
        <w:snapToGrid w:val="0"/>
        <w:spacing w:line="500" w:lineRule="exact"/>
        <w:ind w:firstLine="560" w:firstLineChars="0"/>
        <w:jc w:val="left"/>
        <w:rPr>
          <w:rFonts w:ascii="仿宋" w:hAnsi="仿宋" w:eastAsia="仿宋"/>
          <w:color w:val="000000"/>
        </w:rPr>
      </w:pPr>
      <w:r>
        <w:rPr>
          <w:rFonts w:hint="eastAsia" w:ascii="仿宋" w:hAnsi="仿宋" w:eastAsia="仿宋"/>
          <w:color w:val="000000"/>
        </w:rPr>
        <w:t>1.比选函</w:t>
      </w:r>
    </w:p>
    <w:p w14:paraId="1D9140C7">
      <w:pPr>
        <w:snapToGrid w:val="0"/>
        <w:spacing w:before="190" w:beforeLines="50" w:line="400" w:lineRule="exact"/>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比选函（格式）</w:t>
      </w:r>
    </w:p>
    <w:p w14:paraId="686ECFA8">
      <w:pPr>
        <w:spacing w:line="400" w:lineRule="exact"/>
        <w:ind w:firstLine="560"/>
        <w:rPr>
          <w:rFonts w:ascii="方正仿宋_GBK" w:hAnsi="方正仿宋_GBK" w:cs="方正仿宋_GBK"/>
          <w:color w:val="auto"/>
          <w:szCs w:val="28"/>
          <w:u w:val="single"/>
        </w:rPr>
      </w:pPr>
      <w:r>
        <w:rPr>
          <w:rFonts w:hint="eastAsia" w:ascii="方正仿宋_GBK" w:hAnsi="方正仿宋_GBK" w:cs="方正仿宋_GBK"/>
          <w:color w:val="auto"/>
          <w:szCs w:val="28"/>
        </w:rPr>
        <w:t>比选项目名称：</w:t>
      </w:r>
      <w:r>
        <w:rPr>
          <w:rFonts w:hint="eastAsia" w:ascii="方正仿宋_GBK" w:hAnsi="方正仿宋_GBK" w:cs="方正仿宋_GBK"/>
          <w:color w:val="auto"/>
          <w:szCs w:val="28"/>
          <w:u w:val="single"/>
        </w:rPr>
        <w:t xml:space="preserve">                                             </w:t>
      </w:r>
    </w:p>
    <w:p w14:paraId="7E21572A">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（采购人）</w:t>
      </w:r>
    </w:p>
    <w:p w14:paraId="6019DF1E">
      <w:pPr>
        <w:snapToGrid w:val="0"/>
        <w:spacing w:before="190" w:beforeLines="50"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（参选人名称）系中华人民共和国合法企业，注册地址：</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。我方就参加本次比选有关事项郑重声明如下：</w:t>
      </w:r>
    </w:p>
    <w:p w14:paraId="5B915B49">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一、我方完全理解并接受该项目比选文件所有要求。</w:t>
      </w:r>
    </w:p>
    <w:p w14:paraId="7267F41B">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二、我方提交的所有参选文件、资料都是准确和真实的，如有虚假或隐瞒，我方愿意承担一切法律责任。</w:t>
      </w:r>
    </w:p>
    <w:p w14:paraId="190CA1ED">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三、我方承诺按照比选文件要求，提供比选项目的技术服务。</w:t>
      </w:r>
    </w:p>
    <w:p w14:paraId="14ACCD27">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四、我方按比选文件要求提交的参选文件为：参选文件正本1份，副本1份。</w:t>
      </w:r>
    </w:p>
    <w:p w14:paraId="444712A8">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五、我方承诺：本次比选的比选有效期为比选截止日期起90天内。</w:t>
      </w:r>
    </w:p>
    <w:p w14:paraId="75A3876D">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六、我方比选报价为闭口价。即在比选有效期和合同有效期内，该报价固定不变。</w:t>
      </w:r>
    </w:p>
    <w:p w14:paraId="1D8F5CFB">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七、如果我方中选，我方将履行比选文件中规定的各项要求以及我方参选文件的各项承诺，按照《中华人民共和国民法典》及合同约定条款承担我方责任。</w:t>
      </w:r>
    </w:p>
    <w:p w14:paraId="1FEED0BE">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八、我方未为采购项目提供整体设计、规范编制或者项目管理、监理、检测等服务。</w:t>
      </w:r>
    </w:p>
    <w:p w14:paraId="27CACE69">
      <w:pPr>
        <w:snapToGrid w:val="0"/>
        <w:spacing w:line="4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九、我方理解，最低报价不是中选的唯一条件。</w:t>
      </w:r>
    </w:p>
    <w:p w14:paraId="2A5D4D44">
      <w:pPr>
        <w:snapToGrid w:val="0"/>
        <w:spacing w:line="400" w:lineRule="exact"/>
        <w:ind w:firstLine="0" w:firstLineChars="0"/>
        <w:rPr>
          <w:rFonts w:ascii="方正仿宋_GBK" w:hAnsi="方正仿宋_GBK" w:cs="方正仿宋_GBK"/>
          <w:color w:val="auto"/>
          <w:szCs w:val="28"/>
        </w:rPr>
      </w:pPr>
    </w:p>
    <w:p w14:paraId="5869E93E">
      <w:pPr>
        <w:pStyle w:val="8"/>
        <w:spacing w:line="400" w:lineRule="exact"/>
        <w:ind w:firstLine="560"/>
        <w:rPr>
          <w:rFonts w:ascii="方正仿宋_GBK" w:hAnsi="方正仿宋_GBK" w:cs="方正仿宋_GBK"/>
          <w:szCs w:val="28"/>
        </w:rPr>
      </w:pPr>
    </w:p>
    <w:p w14:paraId="7225CA8F">
      <w:pPr>
        <w:snapToGrid w:val="0"/>
        <w:spacing w:line="400" w:lineRule="exact"/>
        <w:ind w:firstLine="6370" w:firstLineChars="2275"/>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2ED8C464">
      <w:pPr>
        <w:widowControl/>
        <w:snapToGrid w:val="0"/>
        <w:spacing w:line="400" w:lineRule="exact"/>
        <w:ind w:firstLine="6720" w:firstLineChars="2400"/>
        <w:jc w:val="lef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4CF2EE4B">
      <w:pPr>
        <w:widowControl/>
        <w:numPr>
          <w:ilvl w:val="255"/>
          <w:numId w:val="0"/>
        </w:numPr>
        <w:jc w:val="left"/>
        <w:rPr>
          <w:rFonts w:ascii="Times New Roman" w:hAnsi="Times New Roman" w:eastAsia="仿宋"/>
          <w:color w:val="auto"/>
          <w:szCs w:val="28"/>
        </w:rPr>
      </w:pPr>
    </w:p>
    <w:p w14:paraId="1EAC9568">
      <w:pPr>
        <w:widowControl/>
        <w:snapToGrid w:val="0"/>
        <w:spacing w:line="500" w:lineRule="exact"/>
        <w:ind w:firstLine="560" w:firstLineChars="0"/>
        <w:jc w:val="left"/>
        <w:rPr>
          <w:rFonts w:ascii="仿宋" w:hAnsi="仿宋" w:eastAsia="仿宋"/>
          <w:color w:val="000000"/>
        </w:rPr>
      </w:pPr>
    </w:p>
    <w:p w14:paraId="5DEC684F">
      <w:pPr>
        <w:widowControl/>
        <w:snapToGrid w:val="0"/>
        <w:spacing w:line="500" w:lineRule="exact"/>
        <w:ind w:firstLine="560" w:firstLineChars="0"/>
        <w:jc w:val="left"/>
        <w:rPr>
          <w:rFonts w:ascii="仿宋" w:hAnsi="仿宋" w:eastAsia="仿宋"/>
          <w:color w:val="000000"/>
        </w:rPr>
      </w:pPr>
    </w:p>
    <w:p w14:paraId="516A7B03">
      <w:pPr>
        <w:widowControl/>
        <w:snapToGrid w:val="0"/>
        <w:spacing w:line="500" w:lineRule="exact"/>
        <w:ind w:firstLine="560" w:firstLineChars="0"/>
        <w:jc w:val="left"/>
        <w:rPr>
          <w:rFonts w:ascii="仿宋" w:hAnsi="仿宋" w:eastAsia="仿宋"/>
          <w:color w:val="000000"/>
        </w:rPr>
      </w:pPr>
      <w:r>
        <w:rPr>
          <w:rFonts w:hint="eastAsia" w:ascii="仿宋" w:hAnsi="仿宋" w:eastAsia="仿宋"/>
          <w:color w:val="000000"/>
        </w:rPr>
        <w:t>2.商务要求应答承诺书</w:t>
      </w:r>
    </w:p>
    <w:p w14:paraId="7CFDF389">
      <w:pPr>
        <w:tabs>
          <w:tab w:val="left" w:pos="6300"/>
        </w:tabs>
        <w:snapToGrid w:val="0"/>
        <w:spacing w:line="500" w:lineRule="exact"/>
        <w:ind w:firstLine="560"/>
        <w:jc w:val="center"/>
        <w:rPr>
          <w:rFonts w:ascii="方正仿宋_GBK" w:hAnsi="方正仿宋_GBK" w:cs="方正仿宋_GBK"/>
          <w:color w:val="auto"/>
          <w:szCs w:val="28"/>
        </w:rPr>
      </w:pPr>
      <w:bookmarkStart w:id="157" w:name="_Toc24275"/>
      <w:bookmarkStart w:id="158" w:name="_Toc101362777"/>
      <w:bookmarkStart w:id="159" w:name="_Toc25952"/>
      <w:bookmarkStart w:id="160" w:name="_Toc97027591"/>
      <w:bookmarkStart w:id="161" w:name="_Toc26028"/>
      <w:bookmarkStart w:id="162" w:name="_Toc106896351"/>
      <w:bookmarkStart w:id="163" w:name="_Toc10836"/>
      <w:r>
        <w:rPr>
          <w:rFonts w:hint="eastAsia" w:ascii="方正仿宋_GBK" w:hAnsi="方正仿宋_GBK" w:cs="方正仿宋_GBK"/>
          <w:color w:val="auto"/>
          <w:szCs w:val="28"/>
        </w:rPr>
        <w:t>商务要求应答承诺书</w:t>
      </w:r>
      <w:bookmarkEnd w:id="157"/>
      <w:bookmarkEnd w:id="158"/>
      <w:bookmarkEnd w:id="159"/>
      <w:bookmarkEnd w:id="160"/>
      <w:bookmarkEnd w:id="161"/>
      <w:bookmarkEnd w:id="162"/>
      <w:bookmarkEnd w:id="163"/>
    </w:p>
    <w:p w14:paraId="3574B99E">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比选项目名称：</w:t>
      </w:r>
    </w:p>
    <w:p w14:paraId="5A01BD23">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（采购人名称）</w:t>
      </w:r>
      <w:r>
        <w:rPr>
          <w:rFonts w:hint="eastAsia" w:ascii="方正仿宋_GBK" w:hAnsi="方正仿宋_GBK" w:cs="方正仿宋_GBK"/>
          <w:color w:val="auto"/>
          <w:szCs w:val="28"/>
        </w:rPr>
        <w:t>：</w:t>
      </w:r>
    </w:p>
    <w:p w14:paraId="0FC1C049">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郑重承诺：</w:t>
      </w:r>
    </w:p>
    <w:p w14:paraId="16FA5876">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1﹒我方承诺应答并完全满足竞争性比选文件第三篇“项目商务要求”中所提出的全部商务条款要求，否则自愿被评定为无效参选。</w:t>
      </w:r>
    </w:p>
    <w:p w14:paraId="1D20533A">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承诺，若我方中标，在项目实施过程中，我方未遵守和执行竞争性比选文件第三篇“项目商务要求”和我方响应文件中承诺优于竞争性比选文件要求的商务条款时，我方自愿随时被采购人终止并解除服务合同，由本公司自行承担一切相应的损失。</w:t>
      </w:r>
    </w:p>
    <w:p w14:paraId="7C259FEC">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3﹒我方承诺优于比选项目商务要求的内容如下：</w:t>
      </w:r>
    </w:p>
    <w:p w14:paraId="4A75285B">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w:t>
      </w:r>
    </w:p>
    <w:p w14:paraId="0B99FC36">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w:t>
      </w:r>
    </w:p>
    <w:p w14:paraId="2D6D4C3B">
      <w:pPr>
        <w:pStyle w:val="14"/>
        <w:ind w:firstLine="480"/>
      </w:pPr>
    </w:p>
    <w:p w14:paraId="55123824">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（如果有，请参选人逐条对照列示。）</w:t>
      </w:r>
    </w:p>
    <w:p w14:paraId="3700AC93">
      <w:pPr>
        <w:tabs>
          <w:tab w:val="left" w:pos="6300"/>
        </w:tabs>
        <w:snapToGrid w:val="0"/>
        <w:spacing w:line="500" w:lineRule="exact"/>
        <w:ind w:firstLine="560" w:firstLineChars="0"/>
        <w:rPr>
          <w:rFonts w:ascii="方正仿宋_GBK" w:hAnsi="方正仿宋_GBK" w:cs="方正仿宋_GBK"/>
          <w:color w:val="auto"/>
          <w:szCs w:val="28"/>
        </w:rPr>
      </w:pPr>
    </w:p>
    <w:p w14:paraId="2FE941AB">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法定代表人（或代理人）签名或盖章：</w:t>
      </w:r>
    </w:p>
    <w:p w14:paraId="228914CA">
      <w:pPr>
        <w:tabs>
          <w:tab w:val="left" w:pos="6300"/>
        </w:tabs>
        <w:snapToGrid w:val="0"/>
        <w:spacing w:line="500" w:lineRule="exact"/>
        <w:ind w:firstLine="56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法定代表人（或代理人）联系电话：</w:t>
      </w:r>
    </w:p>
    <w:p w14:paraId="7FEF50C9">
      <w:pPr>
        <w:tabs>
          <w:tab w:val="left" w:pos="6300"/>
        </w:tabs>
        <w:snapToGrid w:val="0"/>
        <w:spacing w:line="500" w:lineRule="exact"/>
        <w:ind w:firstLine="560" w:firstLineChars="0"/>
        <w:jc w:val="right"/>
        <w:rPr>
          <w:rFonts w:ascii="方正仿宋_GBK" w:hAnsi="方正仿宋_GBK" w:cs="方正仿宋_GBK"/>
          <w:color w:val="auto"/>
          <w:szCs w:val="28"/>
        </w:rPr>
      </w:pPr>
    </w:p>
    <w:p w14:paraId="1AFB3332">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31E7C887">
      <w:pPr>
        <w:tabs>
          <w:tab w:val="left" w:pos="6300"/>
        </w:tabs>
        <w:snapToGrid w:val="0"/>
        <w:spacing w:line="5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2404A1D6">
      <w:pPr>
        <w:pStyle w:val="17"/>
        <w:ind w:firstLine="0" w:firstLineChars="0"/>
        <w:rPr>
          <w:color w:val="auto"/>
        </w:rPr>
      </w:pPr>
    </w:p>
    <w:p w14:paraId="60C14A75">
      <w:pPr>
        <w:widowControl/>
        <w:snapToGrid w:val="0"/>
        <w:spacing w:line="500" w:lineRule="exact"/>
        <w:ind w:firstLine="0" w:firstLineChars="0"/>
        <w:jc w:val="left"/>
        <w:rPr>
          <w:rFonts w:ascii="仿宋" w:hAnsi="仿宋" w:eastAsia="仿宋"/>
          <w:color w:val="000000"/>
        </w:rPr>
      </w:pPr>
      <w:bookmarkStart w:id="164" w:name="_Toc17051"/>
      <w:bookmarkStart w:id="165" w:name="_Toc31670"/>
      <w:bookmarkStart w:id="166" w:name="_Toc6407"/>
      <w:bookmarkStart w:id="167" w:name="_Toc97027592"/>
      <w:bookmarkStart w:id="168" w:name="_Toc105081946"/>
      <w:bookmarkStart w:id="169" w:name="_Toc194572030"/>
      <w:r>
        <w:rPr>
          <w:rFonts w:hint="eastAsia" w:ascii="仿宋" w:hAnsi="仿宋" w:eastAsia="仿宋"/>
          <w:color w:val="000000"/>
        </w:rPr>
        <w:t>3.</w:t>
      </w:r>
      <w:bookmarkEnd w:id="164"/>
      <w:bookmarkEnd w:id="165"/>
      <w:bookmarkEnd w:id="166"/>
      <w:bookmarkEnd w:id="167"/>
      <w:bookmarkEnd w:id="168"/>
      <w:r>
        <w:rPr>
          <w:rFonts w:hint="eastAsia" w:ascii="仿宋" w:hAnsi="仿宋" w:eastAsia="仿宋"/>
          <w:color w:val="000000"/>
        </w:rPr>
        <w:t>其他商务部分资料</w:t>
      </w:r>
      <w:bookmarkEnd w:id="169"/>
    </w:p>
    <w:p w14:paraId="725261C9">
      <w:pPr>
        <w:snapToGrid w:val="0"/>
        <w:spacing w:line="600" w:lineRule="exact"/>
        <w:ind w:firstLine="0" w:firstLineChars="0"/>
        <w:jc w:val="left"/>
        <w:rPr>
          <w:rFonts w:ascii="Times New Roman" w:hAnsi="Times New Roman" w:eastAsia="仿宋"/>
          <w:color w:val="auto"/>
          <w:sz w:val="32"/>
          <w:szCs w:val="32"/>
        </w:rPr>
      </w:pPr>
    </w:p>
    <w:p w14:paraId="5D7E62D0">
      <w:pPr>
        <w:snapToGrid w:val="0"/>
        <w:spacing w:line="600" w:lineRule="exact"/>
        <w:ind w:firstLine="0" w:firstLineChars="0"/>
        <w:jc w:val="left"/>
        <w:rPr>
          <w:rFonts w:ascii="Times New Roman" w:hAnsi="Times New Roman" w:eastAsia="仿宋"/>
          <w:color w:val="auto"/>
          <w:sz w:val="32"/>
          <w:szCs w:val="32"/>
        </w:rPr>
      </w:pPr>
    </w:p>
    <w:p w14:paraId="54A1BD12">
      <w:pPr>
        <w:snapToGrid w:val="0"/>
        <w:spacing w:line="600" w:lineRule="exact"/>
        <w:ind w:firstLine="0" w:firstLineChars="0"/>
        <w:jc w:val="left"/>
        <w:rPr>
          <w:rFonts w:ascii="Times New Roman" w:hAnsi="Times New Roman" w:eastAsia="仿宋"/>
          <w:color w:val="auto"/>
          <w:sz w:val="32"/>
          <w:szCs w:val="32"/>
        </w:rPr>
      </w:pPr>
    </w:p>
    <w:p w14:paraId="5BDF50E0">
      <w:pPr>
        <w:snapToGrid w:val="0"/>
        <w:spacing w:line="600" w:lineRule="exact"/>
        <w:ind w:firstLine="0" w:firstLineChars="0"/>
        <w:jc w:val="left"/>
        <w:rPr>
          <w:rFonts w:ascii="Times New Roman" w:hAnsi="Times New Roman" w:eastAsia="仿宋"/>
          <w:color w:val="auto"/>
          <w:sz w:val="32"/>
          <w:szCs w:val="32"/>
        </w:rPr>
      </w:pPr>
    </w:p>
    <w:p w14:paraId="212E8C73">
      <w:pPr>
        <w:snapToGrid w:val="0"/>
        <w:spacing w:line="600" w:lineRule="exact"/>
        <w:ind w:firstLine="0" w:firstLineChars="0"/>
        <w:jc w:val="left"/>
        <w:rPr>
          <w:rFonts w:ascii="Times New Roman" w:hAnsi="Times New Roman" w:eastAsia="仿宋"/>
          <w:color w:val="auto"/>
          <w:sz w:val="32"/>
          <w:szCs w:val="32"/>
        </w:rPr>
      </w:pPr>
    </w:p>
    <w:p w14:paraId="11CEE0E9">
      <w:pPr>
        <w:snapToGrid w:val="0"/>
        <w:spacing w:line="600" w:lineRule="exact"/>
        <w:ind w:firstLine="0" w:firstLineChars="0"/>
        <w:jc w:val="left"/>
        <w:rPr>
          <w:rFonts w:ascii="Times New Roman" w:hAnsi="Times New Roman" w:eastAsia="仿宋"/>
          <w:color w:val="auto"/>
          <w:sz w:val="32"/>
          <w:szCs w:val="32"/>
        </w:rPr>
      </w:pPr>
    </w:p>
    <w:p w14:paraId="489708E9">
      <w:pPr>
        <w:snapToGrid w:val="0"/>
        <w:spacing w:line="600" w:lineRule="exact"/>
        <w:ind w:firstLine="0" w:firstLineChars="0"/>
        <w:jc w:val="left"/>
        <w:rPr>
          <w:rFonts w:ascii="Times New Roman" w:hAnsi="Times New Roman" w:eastAsia="仿宋"/>
          <w:color w:val="auto"/>
          <w:sz w:val="32"/>
          <w:szCs w:val="32"/>
        </w:rPr>
      </w:pPr>
    </w:p>
    <w:p w14:paraId="653DAA4F">
      <w:pPr>
        <w:snapToGrid w:val="0"/>
        <w:spacing w:line="600" w:lineRule="exact"/>
        <w:ind w:firstLine="0" w:firstLineChars="0"/>
        <w:jc w:val="left"/>
        <w:rPr>
          <w:rFonts w:ascii="Times New Roman" w:hAnsi="Times New Roman" w:eastAsia="仿宋"/>
          <w:color w:val="auto"/>
          <w:sz w:val="32"/>
          <w:szCs w:val="32"/>
        </w:rPr>
      </w:pPr>
    </w:p>
    <w:p w14:paraId="09BB8679">
      <w:pPr>
        <w:snapToGrid w:val="0"/>
        <w:spacing w:line="600" w:lineRule="exact"/>
        <w:ind w:firstLine="0" w:firstLineChars="0"/>
        <w:jc w:val="left"/>
        <w:rPr>
          <w:rFonts w:ascii="Times New Roman" w:hAnsi="Times New Roman" w:eastAsia="仿宋"/>
          <w:color w:val="auto"/>
          <w:sz w:val="32"/>
          <w:szCs w:val="32"/>
        </w:rPr>
      </w:pPr>
    </w:p>
    <w:p w14:paraId="7A228767">
      <w:pPr>
        <w:snapToGrid w:val="0"/>
        <w:spacing w:line="600" w:lineRule="exact"/>
        <w:ind w:firstLine="0" w:firstLineChars="0"/>
        <w:jc w:val="left"/>
        <w:rPr>
          <w:rFonts w:ascii="Times New Roman" w:hAnsi="Times New Roman" w:eastAsia="仿宋"/>
          <w:color w:val="auto"/>
          <w:sz w:val="32"/>
          <w:szCs w:val="32"/>
        </w:rPr>
      </w:pPr>
    </w:p>
    <w:p w14:paraId="19B16425">
      <w:pPr>
        <w:snapToGrid w:val="0"/>
        <w:spacing w:line="600" w:lineRule="exact"/>
        <w:ind w:firstLine="0" w:firstLineChars="0"/>
        <w:jc w:val="left"/>
        <w:rPr>
          <w:rFonts w:ascii="Times New Roman" w:hAnsi="Times New Roman" w:eastAsia="仿宋"/>
          <w:color w:val="auto"/>
          <w:sz w:val="32"/>
          <w:szCs w:val="32"/>
        </w:rPr>
      </w:pPr>
    </w:p>
    <w:p w14:paraId="455B9E4E">
      <w:pPr>
        <w:snapToGrid w:val="0"/>
        <w:spacing w:line="600" w:lineRule="exact"/>
        <w:ind w:firstLine="0" w:firstLineChars="0"/>
        <w:jc w:val="left"/>
        <w:rPr>
          <w:rFonts w:ascii="Times New Roman" w:hAnsi="Times New Roman" w:eastAsia="仿宋"/>
          <w:color w:val="auto"/>
          <w:sz w:val="32"/>
          <w:szCs w:val="32"/>
        </w:rPr>
      </w:pPr>
    </w:p>
    <w:p w14:paraId="66D4FF62">
      <w:pPr>
        <w:snapToGrid w:val="0"/>
        <w:spacing w:line="600" w:lineRule="exact"/>
        <w:ind w:firstLine="0" w:firstLineChars="0"/>
        <w:jc w:val="left"/>
        <w:rPr>
          <w:rFonts w:ascii="Times New Roman" w:hAnsi="Times New Roman" w:eastAsia="仿宋"/>
          <w:color w:val="auto"/>
          <w:sz w:val="32"/>
          <w:szCs w:val="32"/>
        </w:rPr>
      </w:pPr>
    </w:p>
    <w:p w14:paraId="145645C5">
      <w:pPr>
        <w:snapToGrid w:val="0"/>
        <w:spacing w:line="600" w:lineRule="exact"/>
        <w:ind w:firstLine="0" w:firstLineChars="0"/>
        <w:jc w:val="left"/>
        <w:rPr>
          <w:rFonts w:ascii="Times New Roman" w:hAnsi="Times New Roman" w:eastAsia="仿宋"/>
          <w:color w:val="auto"/>
          <w:sz w:val="32"/>
          <w:szCs w:val="32"/>
        </w:rPr>
      </w:pPr>
    </w:p>
    <w:p w14:paraId="4CBF5103">
      <w:pPr>
        <w:snapToGrid w:val="0"/>
        <w:spacing w:line="600" w:lineRule="exact"/>
        <w:ind w:firstLine="0" w:firstLineChars="0"/>
        <w:jc w:val="left"/>
        <w:rPr>
          <w:rFonts w:ascii="Times New Roman" w:hAnsi="Times New Roman" w:eastAsia="仿宋"/>
          <w:color w:val="auto"/>
          <w:sz w:val="32"/>
          <w:szCs w:val="32"/>
        </w:rPr>
      </w:pPr>
    </w:p>
    <w:p w14:paraId="6293ADA4">
      <w:pPr>
        <w:snapToGrid w:val="0"/>
        <w:spacing w:line="600" w:lineRule="exact"/>
        <w:ind w:firstLine="0" w:firstLineChars="0"/>
        <w:jc w:val="left"/>
        <w:rPr>
          <w:rFonts w:ascii="Times New Roman" w:hAnsi="Times New Roman" w:eastAsia="仿宋"/>
          <w:color w:val="auto"/>
          <w:sz w:val="32"/>
          <w:szCs w:val="32"/>
        </w:rPr>
      </w:pPr>
    </w:p>
    <w:p w14:paraId="56794657">
      <w:pPr>
        <w:snapToGrid w:val="0"/>
        <w:spacing w:line="600" w:lineRule="exact"/>
        <w:ind w:firstLine="0" w:firstLineChars="0"/>
        <w:jc w:val="left"/>
        <w:rPr>
          <w:rFonts w:ascii="Times New Roman" w:hAnsi="Times New Roman" w:eastAsia="仿宋"/>
          <w:color w:val="auto"/>
          <w:sz w:val="32"/>
          <w:szCs w:val="32"/>
        </w:rPr>
      </w:pPr>
    </w:p>
    <w:p w14:paraId="058C68AD">
      <w:pPr>
        <w:snapToGrid w:val="0"/>
        <w:spacing w:line="600" w:lineRule="exact"/>
        <w:ind w:firstLine="0" w:firstLineChars="0"/>
        <w:jc w:val="left"/>
        <w:rPr>
          <w:rFonts w:ascii="Times New Roman" w:hAnsi="Times New Roman" w:eastAsia="仿宋"/>
          <w:color w:val="auto"/>
          <w:sz w:val="32"/>
          <w:szCs w:val="32"/>
        </w:rPr>
      </w:pPr>
    </w:p>
    <w:p w14:paraId="76986BFE">
      <w:pPr>
        <w:snapToGrid w:val="0"/>
        <w:spacing w:line="600" w:lineRule="exact"/>
        <w:ind w:firstLine="0" w:firstLineChars="0"/>
        <w:jc w:val="left"/>
        <w:rPr>
          <w:rFonts w:ascii="Times New Roman" w:hAnsi="Times New Roman" w:eastAsia="仿宋"/>
          <w:color w:val="auto"/>
          <w:sz w:val="32"/>
          <w:szCs w:val="32"/>
        </w:rPr>
      </w:pPr>
    </w:p>
    <w:p w14:paraId="5073E37D">
      <w:pPr>
        <w:snapToGrid w:val="0"/>
        <w:spacing w:line="600" w:lineRule="exact"/>
        <w:ind w:firstLine="0" w:firstLineChars="0"/>
        <w:jc w:val="left"/>
        <w:rPr>
          <w:rFonts w:ascii="Times New Roman" w:hAnsi="Times New Roman" w:eastAsia="仿宋"/>
          <w:color w:val="auto"/>
          <w:sz w:val="32"/>
          <w:szCs w:val="32"/>
        </w:rPr>
      </w:pPr>
    </w:p>
    <w:p w14:paraId="08EB01C3">
      <w:pPr>
        <w:widowControl/>
        <w:ind w:firstLine="0" w:firstLineChars="0"/>
        <w:jc w:val="left"/>
        <w:rPr>
          <w:rFonts w:ascii="Times New Roman" w:hAnsi="Times New Roman" w:eastAsia="仿宋"/>
          <w:b/>
          <w:color w:val="auto"/>
        </w:rPr>
      </w:pPr>
      <w:r>
        <w:rPr>
          <w:rFonts w:ascii="Times New Roman" w:hAnsi="Times New Roman" w:eastAsia="仿宋"/>
          <w:b/>
          <w:color w:val="auto"/>
          <w:szCs w:val="28"/>
        </w:rPr>
        <w:t>四、</w:t>
      </w:r>
      <w:r>
        <w:rPr>
          <w:rFonts w:ascii="Times New Roman" w:hAnsi="Times New Roman" w:eastAsia="仿宋"/>
          <w:b/>
          <w:color w:val="auto"/>
        </w:rPr>
        <w:t>其他与项目有关的资料（自附）</w:t>
      </w:r>
    </w:p>
    <w:p w14:paraId="3AAF5707">
      <w:pPr>
        <w:snapToGrid w:val="0"/>
        <w:spacing w:line="600" w:lineRule="exact"/>
        <w:ind w:firstLine="0" w:firstLineChars="0"/>
        <w:jc w:val="left"/>
        <w:rPr>
          <w:rFonts w:ascii="Times New Roman" w:hAnsi="Times New Roman" w:eastAsia="仿宋"/>
          <w:color w:val="auto"/>
          <w:sz w:val="32"/>
          <w:szCs w:val="32"/>
        </w:rPr>
      </w:pPr>
    </w:p>
    <w:p w14:paraId="73AA826E">
      <w:pPr>
        <w:ind w:left="560" w:firstLine="0" w:firstLineChars="0"/>
        <w:rPr>
          <w:rFonts w:ascii="Times New Roman" w:hAnsi="Times New Roman" w:eastAsia="仿宋"/>
          <w:color w:val="auto"/>
        </w:rPr>
      </w:pPr>
    </w:p>
    <w:p w14:paraId="6F5A9C76">
      <w:pPr>
        <w:ind w:left="560" w:firstLine="0" w:firstLineChars="0"/>
        <w:rPr>
          <w:rFonts w:ascii="Times New Roman" w:hAnsi="Times New Roman" w:eastAsia="仿宋"/>
          <w:color w:val="auto"/>
        </w:rPr>
      </w:pPr>
    </w:p>
    <w:p w14:paraId="0231474B">
      <w:pPr>
        <w:ind w:left="560" w:firstLine="0" w:firstLineChars="0"/>
        <w:rPr>
          <w:rFonts w:ascii="Times New Roman" w:hAnsi="Times New Roman" w:eastAsia="仿宋"/>
          <w:color w:val="auto"/>
        </w:rPr>
      </w:pPr>
    </w:p>
    <w:p w14:paraId="3788B56E">
      <w:pPr>
        <w:ind w:left="560" w:firstLine="0" w:firstLineChars="0"/>
        <w:rPr>
          <w:rFonts w:ascii="Times New Roman" w:hAnsi="Times New Roman" w:eastAsia="仿宋"/>
          <w:color w:val="auto"/>
        </w:rPr>
      </w:pPr>
    </w:p>
    <w:p w14:paraId="12A504BF">
      <w:pPr>
        <w:ind w:left="560" w:firstLine="0" w:firstLineChars="0"/>
        <w:rPr>
          <w:rFonts w:ascii="Times New Roman" w:hAnsi="Times New Roman" w:eastAsia="仿宋"/>
          <w:color w:val="auto"/>
        </w:rPr>
      </w:pPr>
    </w:p>
    <w:p w14:paraId="5FB3DE50">
      <w:pPr>
        <w:ind w:left="560" w:firstLine="0" w:firstLineChars="0"/>
        <w:rPr>
          <w:rFonts w:ascii="Times New Roman" w:hAnsi="Times New Roman" w:eastAsia="仿宋"/>
          <w:color w:val="auto"/>
        </w:rPr>
      </w:pPr>
    </w:p>
    <w:p w14:paraId="1264957B">
      <w:pPr>
        <w:ind w:left="560" w:firstLine="0" w:firstLineChars="0"/>
        <w:rPr>
          <w:rFonts w:ascii="Times New Roman" w:hAnsi="Times New Roman" w:eastAsia="仿宋"/>
          <w:color w:val="auto"/>
        </w:rPr>
      </w:pPr>
    </w:p>
    <w:p w14:paraId="37C7512C">
      <w:pPr>
        <w:ind w:left="560" w:firstLine="0" w:firstLineChars="0"/>
        <w:rPr>
          <w:rFonts w:ascii="Times New Roman" w:hAnsi="Times New Roman" w:eastAsia="仿宋"/>
          <w:color w:val="auto"/>
        </w:rPr>
      </w:pPr>
    </w:p>
    <w:p w14:paraId="7481D561">
      <w:pPr>
        <w:ind w:left="560" w:firstLine="0" w:firstLineChars="0"/>
        <w:rPr>
          <w:rFonts w:ascii="Times New Roman" w:hAnsi="Times New Roman" w:eastAsia="仿宋"/>
          <w:color w:val="auto"/>
        </w:rPr>
      </w:pPr>
    </w:p>
    <w:p w14:paraId="33E3E69F">
      <w:pPr>
        <w:ind w:left="560" w:firstLine="0" w:firstLineChars="0"/>
        <w:rPr>
          <w:rFonts w:ascii="Times New Roman" w:hAnsi="Times New Roman" w:eastAsia="仿宋"/>
          <w:color w:val="auto"/>
        </w:rPr>
      </w:pPr>
    </w:p>
    <w:p w14:paraId="49132951">
      <w:pPr>
        <w:ind w:left="560" w:firstLine="0" w:firstLineChars="0"/>
        <w:rPr>
          <w:rFonts w:ascii="Times New Roman" w:hAnsi="Times New Roman" w:eastAsia="仿宋"/>
          <w:color w:val="auto"/>
        </w:rPr>
      </w:pPr>
    </w:p>
    <w:p w14:paraId="7F24F42B">
      <w:pPr>
        <w:ind w:left="560" w:firstLine="0" w:firstLineChars="0"/>
        <w:rPr>
          <w:rFonts w:ascii="Times New Roman" w:hAnsi="Times New Roman" w:eastAsia="仿宋"/>
          <w:color w:val="auto"/>
        </w:rPr>
      </w:pPr>
    </w:p>
    <w:p w14:paraId="47B81D77">
      <w:pPr>
        <w:ind w:left="560" w:firstLine="0" w:firstLineChars="0"/>
        <w:rPr>
          <w:rFonts w:ascii="Times New Roman" w:hAnsi="Times New Roman" w:eastAsia="仿宋"/>
          <w:color w:val="auto"/>
        </w:rPr>
      </w:pPr>
    </w:p>
    <w:p w14:paraId="7D4F4434">
      <w:pPr>
        <w:ind w:left="560" w:firstLine="0" w:firstLineChars="0"/>
        <w:rPr>
          <w:rFonts w:ascii="Times New Roman" w:hAnsi="Times New Roman" w:eastAsia="仿宋"/>
          <w:color w:val="auto"/>
        </w:rPr>
      </w:pPr>
    </w:p>
    <w:p w14:paraId="64F88742">
      <w:pPr>
        <w:ind w:left="560" w:firstLine="0" w:firstLineChars="0"/>
        <w:rPr>
          <w:rFonts w:ascii="Times New Roman" w:hAnsi="Times New Roman" w:eastAsia="仿宋"/>
          <w:color w:val="auto"/>
        </w:rPr>
      </w:pPr>
    </w:p>
    <w:p w14:paraId="2D69DF4C">
      <w:pPr>
        <w:ind w:left="560" w:firstLine="0" w:firstLineChars="0"/>
        <w:rPr>
          <w:rFonts w:ascii="Times New Roman" w:hAnsi="Times New Roman" w:eastAsia="仿宋"/>
          <w:color w:val="auto"/>
        </w:rPr>
      </w:pPr>
    </w:p>
    <w:p w14:paraId="51A824CD">
      <w:pPr>
        <w:ind w:left="560" w:firstLine="0" w:firstLineChars="0"/>
        <w:rPr>
          <w:rFonts w:ascii="Times New Roman" w:hAnsi="Times New Roman" w:eastAsia="仿宋"/>
          <w:color w:val="auto"/>
        </w:rPr>
      </w:pPr>
    </w:p>
    <w:p w14:paraId="3A989D2C">
      <w:pPr>
        <w:ind w:left="560" w:firstLine="0" w:firstLineChars="0"/>
        <w:rPr>
          <w:rFonts w:ascii="Times New Roman" w:hAnsi="Times New Roman" w:eastAsia="仿宋"/>
          <w:color w:val="auto"/>
        </w:rPr>
      </w:pPr>
    </w:p>
    <w:p w14:paraId="0BD26C84">
      <w:pPr>
        <w:ind w:left="560" w:firstLine="0" w:firstLineChars="0"/>
        <w:rPr>
          <w:rFonts w:ascii="Times New Roman" w:hAnsi="Times New Roman" w:eastAsia="仿宋"/>
          <w:color w:val="auto"/>
        </w:rPr>
      </w:pPr>
    </w:p>
    <w:p w14:paraId="2299BB07">
      <w:pPr>
        <w:widowControl/>
        <w:ind w:firstLine="0" w:firstLineChars="0"/>
        <w:jc w:val="left"/>
        <w:rPr>
          <w:rFonts w:ascii="Times New Roman" w:hAnsi="Times New Roman" w:eastAsia="仿宋"/>
          <w:b/>
          <w:color w:val="auto"/>
          <w:szCs w:val="28"/>
        </w:rPr>
      </w:pPr>
      <w:bookmarkStart w:id="170" w:name="_Toc97027593"/>
      <w:r>
        <w:rPr>
          <w:rFonts w:ascii="Times New Roman" w:hAnsi="Times New Roman" w:eastAsia="仿宋"/>
          <w:b/>
          <w:color w:val="auto"/>
          <w:szCs w:val="28"/>
        </w:rPr>
        <w:t>五、资格文件</w:t>
      </w:r>
      <w:bookmarkEnd w:id="170"/>
    </w:p>
    <w:p w14:paraId="7EA8C26C">
      <w:pPr>
        <w:widowControl/>
        <w:tabs>
          <w:tab w:val="left" w:pos="6300"/>
        </w:tabs>
        <w:snapToGrid w:val="0"/>
        <w:spacing w:line="600" w:lineRule="exact"/>
        <w:ind w:firstLine="0" w:firstLineChars="0"/>
        <w:jc w:val="left"/>
        <w:rPr>
          <w:rFonts w:ascii="方正仿宋_GBK" w:hAnsi="方正仿宋_GBK" w:cs="方正仿宋_GBK"/>
          <w:color w:val="auto"/>
          <w:szCs w:val="28"/>
        </w:rPr>
      </w:pPr>
      <w:bookmarkStart w:id="171" w:name="_Toc2183"/>
      <w:bookmarkStart w:id="172" w:name="_Toc97027594"/>
      <w:bookmarkStart w:id="173" w:name="_Toc105081947"/>
      <w:r>
        <w:rPr>
          <w:rFonts w:hint="eastAsia" w:ascii="方正仿宋_GBK" w:hAnsi="方正仿宋_GBK" w:cs="方正仿宋_GBK"/>
          <w:color w:val="auto"/>
          <w:szCs w:val="28"/>
        </w:rPr>
        <w:t>1.</w:t>
      </w:r>
      <w:bookmarkEnd w:id="171"/>
      <w:bookmarkEnd w:id="172"/>
      <w:bookmarkEnd w:id="173"/>
      <w:r>
        <w:rPr>
          <w:rFonts w:hint="eastAsia" w:ascii="方正仿宋_GBK" w:hAnsi="方正仿宋_GBK" w:cs="方正仿宋_GBK"/>
          <w:color w:val="auto"/>
          <w:szCs w:val="28"/>
        </w:rPr>
        <w:t xml:space="preserve"> 法人营业执照（副本）或事业单位法人证书（副本）或个体工商户营业执照或有效的自然人身份证明或社会团体法人登记证书复印件（加盖参选人公章）</w:t>
      </w:r>
    </w:p>
    <w:p w14:paraId="2B37A2FF">
      <w:pPr>
        <w:tabs>
          <w:tab w:val="left" w:pos="6300"/>
        </w:tabs>
        <w:snapToGrid w:val="0"/>
        <w:spacing w:line="500" w:lineRule="exact"/>
        <w:ind w:firstLine="560"/>
        <w:rPr>
          <w:rFonts w:ascii="Times New Roman" w:hAnsi="Times New Roman" w:eastAsia="仿宋"/>
          <w:color w:val="auto"/>
        </w:rPr>
      </w:pPr>
    </w:p>
    <w:p w14:paraId="1074CA8F">
      <w:pPr>
        <w:tabs>
          <w:tab w:val="left" w:pos="6300"/>
        </w:tabs>
        <w:snapToGrid w:val="0"/>
        <w:spacing w:line="500" w:lineRule="exact"/>
        <w:ind w:firstLine="560"/>
        <w:rPr>
          <w:rFonts w:ascii="Times New Roman" w:hAnsi="Times New Roman" w:eastAsia="仿宋"/>
          <w:color w:val="auto"/>
        </w:rPr>
      </w:pPr>
    </w:p>
    <w:p w14:paraId="6B8B9315">
      <w:pPr>
        <w:tabs>
          <w:tab w:val="left" w:pos="6300"/>
        </w:tabs>
        <w:snapToGrid w:val="0"/>
        <w:spacing w:line="500" w:lineRule="exact"/>
        <w:ind w:firstLine="560"/>
        <w:rPr>
          <w:rFonts w:ascii="Times New Roman" w:hAnsi="Times New Roman" w:eastAsia="仿宋"/>
          <w:color w:val="auto"/>
        </w:rPr>
      </w:pPr>
    </w:p>
    <w:p w14:paraId="6496833D">
      <w:pPr>
        <w:tabs>
          <w:tab w:val="left" w:pos="6300"/>
        </w:tabs>
        <w:snapToGrid w:val="0"/>
        <w:spacing w:line="500" w:lineRule="exact"/>
        <w:ind w:firstLine="560"/>
        <w:rPr>
          <w:rFonts w:ascii="Times New Roman" w:hAnsi="Times New Roman" w:eastAsia="仿宋"/>
          <w:color w:val="auto"/>
        </w:rPr>
      </w:pPr>
    </w:p>
    <w:p w14:paraId="7D35A9AD">
      <w:pPr>
        <w:tabs>
          <w:tab w:val="left" w:pos="6300"/>
        </w:tabs>
        <w:snapToGrid w:val="0"/>
        <w:spacing w:line="500" w:lineRule="exact"/>
        <w:ind w:firstLine="560"/>
        <w:rPr>
          <w:rFonts w:ascii="Times New Roman" w:hAnsi="Times New Roman" w:eastAsia="仿宋"/>
          <w:color w:val="auto"/>
        </w:rPr>
      </w:pPr>
    </w:p>
    <w:p w14:paraId="0EBB4EFB">
      <w:pPr>
        <w:tabs>
          <w:tab w:val="left" w:pos="6300"/>
        </w:tabs>
        <w:snapToGrid w:val="0"/>
        <w:spacing w:line="500" w:lineRule="exact"/>
        <w:ind w:firstLine="560"/>
        <w:rPr>
          <w:rFonts w:ascii="Times New Roman" w:hAnsi="Times New Roman" w:eastAsia="仿宋"/>
          <w:color w:val="auto"/>
        </w:rPr>
      </w:pPr>
    </w:p>
    <w:p w14:paraId="42D1B3D9">
      <w:pPr>
        <w:tabs>
          <w:tab w:val="left" w:pos="6300"/>
        </w:tabs>
        <w:snapToGrid w:val="0"/>
        <w:spacing w:line="500" w:lineRule="exact"/>
        <w:ind w:firstLine="0" w:firstLineChars="0"/>
        <w:rPr>
          <w:rFonts w:ascii="Times New Roman" w:hAnsi="Times New Roman" w:eastAsia="仿宋"/>
          <w:color w:val="auto"/>
        </w:rPr>
      </w:pPr>
    </w:p>
    <w:p w14:paraId="01ED5C4F">
      <w:pPr>
        <w:widowControl/>
        <w:spacing w:line="240" w:lineRule="auto"/>
        <w:ind w:firstLine="0" w:firstLineChars="0"/>
        <w:jc w:val="left"/>
        <w:rPr>
          <w:rFonts w:ascii="Times New Roman" w:hAnsi="Times New Roman" w:eastAsia="仿宋"/>
          <w:color w:val="auto"/>
          <w:szCs w:val="28"/>
        </w:rPr>
      </w:pPr>
    </w:p>
    <w:p w14:paraId="09FAF953">
      <w:pPr>
        <w:ind w:left="560" w:firstLine="0" w:firstLineChars="0"/>
        <w:rPr>
          <w:rFonts w:ascii="Times New Roman" w:hAnsi="Times New Roman" w:eastAsia="仿宋"/>
          <w:color w:val="auto"/>
        </w:rPr>
      </w:pPr>
    </w:p>
    <w:p w14:paraId="7C3BA896">
      <w:pPr>
        <w:ind w:firstLine="560"/>
        <w:rPr>
          <w:rFonts w:ascii="Times New Roman" w:hAnsi="Times New Roman" w:eastAsia="仿宋"/>
          <w:color w:val="auto"/>
        </w:rPr>
      </w:pPr>
    </w:p>
    <w:p w14:paraId="17BF859C">
      <w:pPr>
        <w:ind w:left="560" w:firstLine="0" w:firstLineChars="0"/>
        <w:rPr>
          <w:rFonts w:ascii="Times New Roman" w:hAnsi="Times New Roman" w:eastAsia="仿宋"/>
          <w:color w:val="auto"/>
        </w:rPr>
      </w:pPr>
    </w:p>
    <w:p w14:paraId="2975776F">
      <w:pPr>
        <w:ind w:left="560" w:firstLine="0" w:firstLineChars="0"/>
        <w:rPr>
          <w:rFonts w:ascii="Times New Roman" w:hAnsi="Times New Roman" w:eastAsia="仿宋"/>
          <w:color w:val="auto"/>
        </w:rPr>
      </w:pPr>
      <w:bookmarkStart w:id="174" w:name="_Toc97027595"/>
      <w:bookmarkStart w:id="175" w:name="_Toc25694"/>
    </w:p>
    <w:p w14:paraId="1A7394EC">
      <w:pPr>
        <w:ind w:left="560" w:firstLine="0" w:firstLineChars="0"/>
        <w:rPr>
          <w:rFonts w:ascii="Times New Roman" w:hAnsi="Times New Roman" w:eastAsia="仿宋"/>
          <w:color w:val="auto"/>
        </w:rPr>
      </w:pPr>
    </w:p>
    <w:p w14:paraId="5F24F308">
      <w:pPr>
        <w:ind w:left="560" w:firstLine="0" w:firstLineChars="0"/>
        <w:rPr>
          <w:rFonts w:ascii="Times New Roman" w:hAnsi="Times New Roman" w:eastAsia="仿宋"/>
          <w:color w:val="auto"/>
        </w:rPr>
      </w:pPr>
    </w:p>
    <w:p w14:paraId="278C56D2">
      <w:pPr>
        <w:ind w:left="560" w:firstLine="0" w:firstLineChars="0"/>
        <w:rPr>
          <w:rFonts w:ascii="Times New Roman" w:hAnsi="Times New Roman" w:eastAsia="仿宋"/>
          <w:color w:val="auto"/>
        </w:rPr>
      </w:pPr>
    </w:p>
    <w:p w14:paraId="4DEB72C1">
      <w:pPr>
        <w:ind w:left="560" w:firstLine="0" w:firstLineChars="0"/>
        <w:rPr>
          <w:rFonts w:ascii="Times New Roman" w:hAnsi="Times New Roman" w:eastAsia="仿宋"/>
          <w:color w:val="auto"/>
        </w:rPr>
      </w:pPr>
    </w:p>
    <w:p w14:paraId="5C9E465B">
      <w:pPr>
        <w:ind w:left="560" w:firstLine="0" w:firstLineChars="0"/>
        <w:rPr>
          <w:rFonts w:ascii="Times New Roman" w:hAnsi="Times New Roman" w:eastAsia="仿宋"/>
          <w:color w:val="auto"/>
        </w:rPr>
      </w:pPr>
    </w:p>
    <w:p w14:paraId="3EFDEEA5">
      <w:pPr>
        <w:ind w:left="560" w:firstLine="0" w:firstLineChars="0"/>
        <w:rPr>
          <w:rFonts w:ascii="Times New Roman" w:hAnsi="Times New Roman" w:eastAsia="仿宋"/>
          <w:color w:val="auto"/>
        </w:rPr>
      </w:pPr>
    </w:p>
    <w:p w14:paraId="2EB904C3">
      <w:pPr>
        <w:ind w:left="560" w:firstLine="0" w:firstLineChars="0"/>
        <w:rPr>
          <w:rFonts w:ascii="Times New Roman" w:hAnsi="Times New Roman" w:eastAsia="仿宋"/>
          <w:color w:val="auto"/>
        </w:rPr>
      </w:pPr>
    </w:p>
    <w:p w14:paraId="0AF877FF">
      <w:pPr>
        <w:widowControl/>
        <w:numPr>
          <w:ilvl w:val="0"/>
          <w:numId w:val="7"/>
        </w:numPr>
        <w:ind w:firstLine="0" w:firstLineChars="0"/>
        <w:jc w:val="left"/>
        <w:outlineLvl w:val="1"/>
        <w:rPr>
          <w:rFonts w:ascii="Times New Roman" w:hAnsi="Times New Roman" w:eastAsia="仿宋"/>
          <w:color w:val="auto"/>
          <w:szCs w:val="28"/>
        </w:rPr>
      </w:pPr>
      <w:bookmarkStart w:id="176" w:name="_Toc105081948"/>
      <w:r>
        <w:rPr>
          <w:rFonts w:ascii="Times New Roman" w:hAnsi="Times New Roman" w:eastAsia="仿宋"/>
          <w:color w:val="auto"/>
          <w:szCs w:val="28"/>
        </w:rPr>
        <w:t>法定代表人身份证明书（格式）</w:t>
      </w:r>
      <w:bookmarkEnd w:id="174"/>
      <w:bookmarkEnd w:id="175"/>
      <w:bookmarkEnd w:id="176"/>
    </w:p>
    <w:p w14:paraId="79202C3A">
      <w:pPr>
        <w:pStyle w:val="8"/>
        <w:numPr>
          <w:ilvl w:val="255"/>
          <w:numId w:val="0"/>
        </w:numPr>
        <w:rPr>
          <w:rFonts w:ascii="Times New Roman" w:hAnsi="Times New Roman" w:eastAsia="仿宋"/>
          <w:color w:val="auto"/>
          <w:szCs w:val="28"/>
        </w:rPr>
      </w:pPr>
    </w:p>
    <w:p w14:paraId="624DAEEB">
      <w:pPr>
        <w:pStyle w:val="8"/>
        <w:numPr>
          <w:ilvl w:val="255"/>
          <w:numId w:val="0"/>
        </w:numPr>
        <w:rPr>
          <w:rFonts w:ascii="方正仿宋_GBK" w:hAnsi="方正仿宋_GBK" w:cs="方正仿宋_GBK"/>
          <w:color w:val="auto"/>
          <w:sz w:val="21"/>
          <w:szCs w:val="21"/>
        </w:rPr>
      </w:pPr>
    </w:p>
    <w:p w14:paraId="593C6554">
      <w:pPr>
        <w:snapToGrid w:val="0"/>
        <w:spacing w:line="600" w:lineRule="exact"/>
        <w:ind w:firstLine="0" w:firstLineChars="0"/>
        <w:jc w:val="center"/>
        <w:outlineLvl w:val="1"/>
        <w:rPr>
          <w:rFonts w:ascii="方正仿宋_GBK" w:hAnsi="方正仿宋_GBK" w:cs="方正仿宋_GBK"/>
          <w:bCs/>
          <w:color w:val="auto"/>
          <w:szCs w:val="28"/>
        </w:rPr>
      </w:pPr>
      <w:bookmarkStart w:id="177" w:name="_Toc105081949"/>
      <w:bookmarkStart w:id="178" w:name="_Toc97027596"/>
      <w:bookmarkStart w:id="179" w:name="_Toc2265"/>
      <w:r>
        <w:rPr>
          <w:rFonts w:hint="eastAsia" w:ascii="方正仿宋_GBK" w:hAnsi="方正仿宋_GBK" w:cs="方正仿宋_GBK"/>
          <w:bCs/>
          <w:color w:val="auto"/>
          <w:szCs w:val="28"/>
        </w:rPr>
        <w:t>法定代表人身份证明书</w:t>
      </w:r>
      <w:bookmarkEnd w:id="177"/>
      <w:bookmarkEnd w:id="178"/>
      <w:bookmarkEnd w:id="179"/>
    </w:p>
    <w:p w14:paraId="7D08404C">
      <w:pPr>
        <w:tabs>
          <w:tab w:val="left" w:pos="6300"/>
        </w:tabs>
        <w:snapToGrid w:val="0"/>
        <w:ind w:firstLine="198" w:firstLineChars="71"/>
        <w:rPr>
          <w:rFonts w:ascii="方正仿宋_GBK" w:hAnsi="方正仿宋_GBK" w:cs="方正仿宋_GBK"/>
          <w:color w:val="auto"/>
          <w:szCs w:val="28"/>
          <w:u w:val="single"/>
        </w:rPr>
      </w:pPr>
      <w:r>
        <w:rPr>
          <w:rFonts w:hint="eastAsia" w:ascii="方正仿宋_GBK" w:hAnsi="方正仿宋_GBK" w:cs="方正仿宋_GBK"/>
          <w:color w:val="auto"/>
          <w:szCs w:val="28"/>
          <w:u w:val="single"/>
        </w:rPr>
        <w:t>（采购人名称）   :</w:t>
      </w:r>
    </w:p>
    <w:p w14:paraId="40979C52">
      <w:pPr>
        <w:tabs>
          <w:tab w:val="left" w:pos="6300"/>
        </w:tabs>
        <w:snapToGrid w:val="0"/>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（法定代表人姓名）</w:t>
      </w:r>
      <w:r>
        <w:rPr>
          <w:rFonts w:hint="eastAsia" w:ascii="方正仿宋_GBK" w:hAnsi="方正仿宋_GBK" w:cs="方正仿宋_GBK"/>
          <w:color w:val="auto"/>
          <w:szCs w:val="28"/>
        </w:rPr>
        <w:t>在</w:t>
      </w: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任</w:t>
      </w:r>
      <w:r>
        <w:rPr>
          <w:rFonts w:hint="eastAsia" w:ascii="方正仿宋_GBK" w:hAnsi="方正仿宋_GBK" w:cs="方正仿宋_GBK"/>
          <w:color w:val="auto"/>
          <w:szCs w:val="28"/>
          <w:u w:val="single"/>
        </w:rPr>
        <w:t>（职务名称）</w:t>
      </w:r>
      <w:r>
        <w:rPr>
          <w:rFonts w:hint="eastAsia" w:ascii="方正仿宋_GBK" w:hAnsi="方正仿宋_GBK" w:cs="方正仿宋_GBK"/>
          <w:color w:val="auto"/>
          <w:szCs w:val="28"/>
        </w:rPr>
        <w:t>职务，是</w:t>
      </w:r>
      <w:r>
        <w:rPr>
          <w:rFonts w:hint="eastAsia" w:ascii="方正仿宋_GBK" w:hAnsi="方正仿宋_GBK" w:cs="方正仿宋_GBK"/>
          <w:color w:val="auto"/>
          <w:szCs w:val="28"/>
          <w:u w:val="single"/>
        </w:rPr>
        <w:t>（参选人名称）</w:t>
      </w:r>
      <w:r>
        <w:rPr>
          <w:rFonts w:hint="eastAsia" w:ascii="方正仿宋_GBK" w:hAnsi="方正仿宋_GBK" w:cs="方正仿宋_GBK"/>
          <w:color w:val="auto"/>
          <w:szCs w:val="28"/>
        </w:rPr>
        <w:t>的法定代表人，联系电话为：</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w:t>
      </w:r>
    </w:p>
    <w:p w14:paraId="1354C13F">
      <w:pPr>
        <w:tabs>
          <w:tab w:val="left" w:pos="6300"/>
        </w:tabs>
        <w:snapToGrid w:val="0"/>
        <w:ind w:firstLine="560"/>
        <w:rPr>
          <w:rFonts w:ascii="方正仿宋_GBK" w:hAnsi="方正仿宋_GBK" w:cs="方正仿宋_GBK"/>
          <w:color w:val="auto"/>
          <w:szCs w:val="28"/>
        </w:rPr>
      </w:pPr>
    </w:p>
    <w:p w14:paraId="35863DFE">
      <w:pPr>
        <w:tabs>
          <w:tab w:val="left" w:pos="6300"/>
        </w:tabs>
        <w:snapToGrid w:val="0"/>
        <w:ind w:right="560" w:firstLine="560"/>
        <w:jc w:val="left"/>
        <w:rPr>
          <w:rFonts w:ascii="方正仿宋_GBK" w:hAnsi="方正仿宋_GBK" w:cs="方正仿宋_GBK"/>
          <w:color w:val="auto"/>
          <w:szCs w:val="28"/>
        </w:rPr>
      </w:pPr>
      <w:bookmarkStart w:id="180" w:name="_Toc58919196"/>
      <w:bookmarkStart w:id="181" w:name="_Toc58918987"/>
      <w:bookmarkStart w:id="182" w:name="_Toc58919068"/>
      <w:r>
        <w:rPr>
          <w:rFonts w:hint="eastAsia" w:ascii="方正仿宋_GBK" w:hAnsi="方正仿宋_GBK" w:cs="方正仿宋_GBK"/>
          <w:color w:val="auto"/>
          <w:szCs w:val="28"/>
        </w:rPr>
        <w:t>特此证明。</w:t>
      </w:r>
      <w:bookmarkEnd w:id="180"/>
      <w:bookmarkEnd w:id="181"/>
      <w:bookmarkEnd w:id="182"/>
    </w:p>
    <w:p w14:paraId="7A050446">
      <w:pPr>
        <w:tabs>
          <w:tab w:val="left" w:pos="6300"/>
        </w:tabs>
        <w:snapToGrid w:val="0"/>
        <w:ind w:firstLine="560"/>
        <w:rPr>
          <w:rFonts w:ascii="方正仿宋_GBK" w:hAnsi="方正仿宋_GBK" w:cs="方正仿宋_GBK"/>
          <w:color w:val="auto"/>
          <w:szCs w:val="28"/>
        </w:rPr>
      </w:pPr>
    </w:p>
    <w:p w14:paraId="2D81EAD1">
      <w:pPr>
        <w:tabs>
          <w:tab w:val="left" w:pos="6300"/>
        </w:tabs>
        <w:snapToGrid w:val="0"/>
        <w:ind w:right="560"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6C1A114A">
      <w:pPr>
        <w:tabs>
          <w:tab w:val="left" w:pos="6300"/>
        </w:tabs>
        <w:snapToGrid w:val="0"/>
        <w:ind w:firstLine="560"/>
        <w:jc w:val="center"/>
        <w:rPr>
          <w:rFonts w:ascii="方正仿宋_GBK" w:hAnsi="方正仿宋_GBK" w:cs="方正仿宋_GBK"/>
          <w:color w:val="auto"/>
          <w:szCs w:val="28"/>
        </w:rPr>
      </w:pPr>
      <w:r>
        <w:rPr>
          <w:rFonts w:hint="eastAsia" w:ascii="方正仿宋_GBK" w:hAnsi="方正仿宋_GBK" w:cs="方正仿宋_GBK"/>
          <w:color w:val="auto"/>
          <w:szCs w:val="28"/>
        </w:rPr>
        <w:t xml:space="preserve">                                        年  月   日</w:t>
      </w:r>
    </w:p>
    <w:p w14:paraId="3F163B05">
      <w:pPr>
        <w:tabs>
          <w:tab w:val="left" w:pos="6300"/>
        </w:tabs>
        <w:snapToGrid w:val="0"/>
        <w:ind w:firstLine="560"/>
        <w:jc w:val="left"/>
        <w:rPr>
          <w:rFonts w:ascii="方正仿宋_GBK" w:hAnsi="方正仿宋_GBK" w:cs="方正仿宋_GBK"/>
          <w:color w:val="auto"/>
          <w:szCs w:val="28"/>
        </w:rPr>
      </w:pPr>
    </w:p>
    <w:p w14:paraId="52E30176">
      <w:pPr>
        <w:tabs>
          <w:tab w:val="left" w:pos="6300"/>
        </w:tabs>
        <w:snapToGrid w:val="0"/>
        <w:spacing w:line="500" w:lineRule="exact"/>
        <w:ind w:firstLine="560"/>
        <w:rPr>
          <w:rFonts w:ascii="方正仿宋_GBK" w:hAnsi="方正仿宋_GBK" w:cs="方正仿宋_GBK"/>
          <w:color w:val="auto"/>
          <w:szCs w:val="28"/>
        </w:rPr>
      </w:pPr>
    </w:p>
    <w:p w14:paraId="69BBF31E">
      <w:pPr>
        <w:tabs>
          <w:tab w:val="left" w:pos="6300"/>
        </w:tabs>
        <w:snapToGrid w:val="0"/>
        <w:spacing w:line="5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（附：法定代表人身份证正反面复印件）</w:t>
      </w:r>
    </w:p>
    <w:p w14:paraId="6A6AAB46">
      <w:pPr>
        <w:tabs>
          <w:tab w:val="left" w:pos="6300"/>
        </w:tabs>
        <w:snapToGrid w:val="0"/>
        <w:spacing w:line="500" w:lineRule="exact"/>
        <w:ind w:firstLine="420"/>
        <w:rPr>
          <w:rFonts w:ascii="方正仿宋_GBK" w:hAnsi="方正仿宋_GBK" w:cs="方正仿宋_GBK"/>
          <w:color w:val="auto"/>
          <w:sz w:val="21"/>
          <w:szCs w:val="21"/>
        </w:rPr>
      </w:pPr>
    </w:p>
    <w:p w14:paraId="1939936B">
      <w:pPr>
        <w:tabs>
          <w:tab w:val="left" w:pos="6300"/>
        </w:tabs>
        <w:snapToGrid w:val="0"/>
        <w:spacing w:line="500" w:lineRule="exact"/>
        <w:ind w:firstLine="420"/>
        <w:rPr>
          <w:rFonts w:ascii="方正仿宋_GBK" w:hAnsi="方正仿宋_GBK" w:cs="方正仿宋_GBK"/>
          <w:color w:val="auto"/>
          <w:sz w:val="21"/>
          <w:szCs w:val="21"/>
        </w:rPr>
      </w:pPr>
    </w:p>
    <w:p w14:paraId="50D9346E">
      <w:pPr>
        <w:tabs>
          <w:tab w:val="left" w:pos="6300"/>
        </w:tabs>
        <w:snapToGrid w:val="0"/>
        <w:spacing w:line="500" w:lineRule="exact"/>
        <w:ind w:firstLine="480"/>
        <w:rPr>
          <w:rFonts w:ascii="宋体" w:hAnsi="宋体" w:eastAsia="宋体" w:cs="宋体"/>
          <w:color w:val="auto"/>
          <w:sz w:val="24"/>
        </w:rPr>
      </w:pPr>
    </w:p>
    <w:p w14:paraId="37BD4185">
      <w:pPr>
        <w:tabs>
          <w:tab w:val="left" w:pos="6300"/>
        </w:tabs>
        <w:snapToGrid w:val="0"/>
        <w:spacing w:line="500" w:lineRule="exact"/>
        <w:ind w:firstLine="480"/>
        <w:rPr>
          <w:rFonts w:ascii="Times New Roman" w:hAnsi="Times New Roman" w:eastAsia="仿宋"/>
          <w:color w:val="auto"/>
          <w:sz w:val="24"/>
        </w:rPr>
      </w:pPr>
    </w:p>
    <w:p w14:paraId="728751D2">
      <w:pPr>
        <w:tabs>
          <w:tab w:val="left" w:pos="6300"/>
        </w:tabs>
        <w:snapToGrid w:val="0"/>
        <w:spacing w:line="500" w:lineRule="exact"/>
        <w:ind w:firstLine="480"/>
        <w:rPr>
          <w:rFonts w:ascii="Times New Roman" w:hAnsi="Times New Roman" w:eastAsia="仿宋"/>
          <w:color w:val="auto"/>
          <w:sz w:val="24"/>
        </w:rPr>
      </w:pPr>
    </w:p>
    <w:p w14:paraId="4C5AE292">
      <w:pPr>
        <w:tabs>
          <w:tab w:val="left" w:pos="6300"/>
        </w:tabs>
        <w:snapToGrid w:val="0"/>
        <w:spacing w:line="500" w:lineRule="exact"/>
        <w:ind w:firstLine="480"/>
        <w:rPr>
          <w:rFonts w:ascii="Times New Roman" w:hAnsi="Times New Roman" w:eastAsia="仿宋"/>
          <w:color w:val="auto"/>
          <w:sz w:val="24"/>
        </w:rPr>
      </w:pPr>
    </w:p>
    <w:p w14:paraId="55B2C97D">
      <w:pPr>
        <w:widowControl/>
        <w:ind w:firstLine="0" w:firstLineChars="0"/>
        <w:jc w:val="left"/>
        <w:rPr>
          <w:rFonts w:ascii="Times New Roman" w:hAnsi="Times New Roman" w:eastAsia="仿宋"/>
          <w:color w:val="auto"/>
        </w:rPr>
      </w:pPr>
      <w:r>
        <w:rPr>
          <w:rFonts w:ascii="Times New Roman" w:hAnsi="Times New Roman" w:eastAsia="仿宋"/>
          <w:color w:val="auto"/>
        </w:rPr>
        <w:br w:type="column"/>
      </w:r>
      <w:r>
        <w:rPr>
          <w:rFonts w:ascii="Times New Roman" w:hAnsi="Times New Roman" w:eastAsia="仿宋"/>
          <w:color w:val="auto"/>
          <w:szCs w:val="28"/>
        </w:rPr>
        <w:t>3.法定代表人授权委托书（格式）</w:t>
      </w:r>
    </w:p>
    <w:p w14:paraId="46E8A111">
      <w:pPr>
        <w:snapToGrid w:val="0"/>
        <w:spacing w:line="600" w:lineRule="exact"/>
        <w:ind w:firstLine="0" w:firstLineChars="0"/>
        <w:jc w:val="center"/>
        <w:outlineLvl w:val="0"/>
        <w:rPr>
          <w:rFonts w:ascii="方正仿宋_GBK" w:hAnsi="方正仿宋_GBK" w:cs="方正仿宋_GBK"/>
          <w:bCs/>
          <w:color w:val="auto"/>
          <w:szCs w:val="28"/>
        </w:rPr>
      </w:pPr>
      <w:bookmarkStart w:id="183" w:name="_Toc194572031"/>
      <w:bookmarkStart w:id="184" w:name="_Toc105081950"/>
      <w:bookmarkStart w:id="185" w:name="_Toc6808"/>
      <w:bookmarkStart w:id="186" w:name="_Toc97027597"/>
      <w:bookmarkStart w:id="187" w:name="_Toc31928"/>
      <w:bookmarkStart w:id="188" w:name="_Toc6017"/>
      <w:r>
        <w:rPr>
          <w:rFonts w:hint="eastAsia" w:ascii="方正仿宋_GBK" w:hAnsi="方正仿宋_GBK" w:cs="方正仿宋_GBK"/>
          <w:bCs/>
          <w:color w:val="auto"/>
          <w:szCs w:val="28"/>
        </w:rPr>
        <w:t>法定代表人授权委托书</w:t>
      </w:r>
      <w:bookmarkEnd w:id="183"/>
      <w:bookmarkEnd w:id="184"/>
      <w:bookmarkEnd w:id="185"/>
      <w:bookmarkEnd w:id="186"/>
      <w:bookmarkEnd w:id="187"/>
      <w:bookmarkEnd w:id="188"/>
    </w:p>
    <w:p w14:paraId="6577EF27">
      <w:pPr>
        <w:snapToGrid w:val="0"/>
        <w:spacing w:line="600" w:lineRule="exact"/>
        <w:ind w:firstLine="560"/>
        <w:jc w:val="center"/>
        <w:rPr>
          <w:rFonts w:ascii="方正仿宋_GBK" w:hAnsi="方正仿宋_GBK" w:cs="方正仿宋_GBK"/>
          <w:color w:val="auto"/>
          <w:szCs w:val="28"/>
        </w:rPr>
      </w:pPr>
    </w:p>
    <w:p w14:paraId="451E8D2D">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项目名称：</w:t>
      </w:r>
    </w:p>
    <w:p w14:paraId="401AC14D">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致：（采购人名称）</w:t>
      </w:r>
    </w:p>
    <w:p w14:paraId="5D768B86">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（参选人名称）是中华人民共和国合法企业，法定地址</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w:t>
      </w:r>
    </w:p>
    <w:p w14:paraId="27D38ABE">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（参选人法定代表人姓名）特授权</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（被授权人姓名、身份证代码及电话号码）代表我单位全权办理对上述项目的比选、签约等具体工作，并签署全部有关的文件、协议及合同。</w:t>
      </w:r>
    </w:p>
    <w:p w14:paraId="797E668C">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我单位对被授权人的签字负全部责任。</w:t>
      </w:r>
    </w:p>
    <w:p w14:paraId="01310CAA">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在撤销授权的书面通知以前，本授权书一直有效。被授权人签署的所有文件（在授权书有效期内签署的）不因授权的撤销而失效。</w:t>
      </w:r>
    </w:p>
    <w:p w14:paraId="51BF765A">
      <w:pPr>
        <w:tabs>
          <w:tab w:val="left" w:pos="6300"/>
        </w:tabs>
        <w:snapToGrid w:val="0"/>
        <w:spacing w:line="600" w:lineRule="exact"/>
        <w:ind w:firstLine="560"/>
        <w:rPr>
          <w:rFonts w:ascii="方正仿宋_GBK" w:hAnsi="方正仿宋_GBK" w:cs="方正仿宋_GBK"/>
          <w:color w:val="auto"/>
          <w:szCs w:val="28"/>
        </w:rPr>
      </w:pPr>
    </w:p>
    <w:p w14:paraId="392C3510">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被授权人：                            法定代表人：</w:t>
      </w:r>
    </w:p>
    <w:p w14:paraId="6FFC67FF">
      <w:pPr>
        <w:tabs>
          <w:tab w:val="left" w:pos="6300"/>
        </w:tabs>
        <w:snapToGrid w:val="0"/>
        <w:spacing w:line="600" w:lineRule="exact"/>
        <w:ind w:firstLine="560"/>
        <w:jc w:val="left"/>
        <w:rPr>
          <w:rFonts w:ascii="方正仿宋_GBK" w:hAnsi="方正仿宋_GBK" w:cs="方正仿宋_GBK"/>
          <w:color w:val="auto"/>
          <w:szCs w:val="28"/>
        </w:rPr>
      </w:pPr>
      <w:r>
        <w:rPr>
          <w:rFonts w:hint="eastAsia" w:ascii="方正仿宋_GBK" w:hAnsi="方正仿宋_GBK" w:cs="方正仿宋_GBK"/>
          <w:color w:val="auto"/>
          <w:szCs w:val="28"/>
        </w:rPr>
        <w:t>（签字或盖章）                       （签字或盖章）</w:t>
      </w:r>
    </w:p>
    <w:p w14:paraId="412EA2E3">
      <w:pPr>
        <w:tabs>
          <w:tab w:val="left" w:pos="6300"/>
        </w:tabs>
        <w:snapToGrid w:val="0"/>
        <w:spacing w:line="60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352BC50B">
      <w:pPr>
        <w:tabs>
          <w:tab w:val="left" w:pos="6300"/>
        </w:tabs>
        <w:snapToGrid w:val="0"/>
        <w:spacing w:line="600" w:lineRule="exact"/>
        <w:ind w:right="204"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年   月   日</w:t>
      </w:r>
    </w:p>
    <w:p w14:paraId="6B330405">
      <w:pPr>
        <w:tabs>
          <w:tab w:val="left" w:pos="6300"/>
        </w:tabs>
        <w:snapToGrid w:val="0"/>
        <w:spacing w:line="60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（附：被授权人身份证复印件）</w:t>
      </w:r>
    </w:p>
    <w:p w14:paraId="1F2E2988">
      <w:pPr>
        <w:tabs>
          <w:tab w:val="left" w:pos="6300"/>
        </w:tabs>
        <w:snapToGrid w:val="0"/>
        <w:spacing w:line="600" w:lineRule="exact"/>
        <w:ind w:firstLine="480" w:firstLineChars="0"/>
        <w:rPr>
          <w:rFonts w:ascii="方正仿宋_GBK" w:hAnsi="方正仿宋_GBK" w:cs="方正仿宋_GBK"/>
          <w:color w:val="auto"/>
          <w:szCs w:val="28"/>
        </w:rPr>
      </w:pPr>
    </w:p>
    <w:p w14:paraId="48FC07AB">
      <w:pPr>
        <w:tabs>
          <w:tab w:val="left" w:pos="6300"/>
        </w:tabs>
        <w:snapToGrid w:val="0"/>
        <w:spacing w:line="600" w:lineRule="exact"/>
        <w:ind w:firstLine="480" w:firstLineChars="0"/>
        <w:rPr>
          <w:rFonts w:ascii="方正仿宋_GBK" w:hAnsi="方正仿宋_GBK" w:cs="方正仿宋_GBK"/>
          <w:b/>
          <w:bCs/>
          <w:color w:val="auto"/>
          <w:szCs w:val="28"/>
        </w:rPr>
      </w:pPr>
      <w:r>
        <w:rPr>
          <w:rFonts w:hint="eastAsia" w:ascii="方正仿宋_GBK" w:hAnsi="方正仿宋_GBK" w:cs="方正仿宋_GBK"/>
          <w:b/>
          <w:bCs/>
          <w:color w:val="auto"/>
          <w:szCs w:val="28"/>
        </w:rPr>
        <w:t>注：若为法定代表人办理并签署比选文件的，不提供此文件。</w:t>
      </w:r>
    </w:p>
    <w:p w14:paraId="07BF0CFB">
      <w:pPr>
        <w:widowControl/>
        <w:numPr>
          <w:ilvl w:val="255"/>
          <w:numId w:val="0"/>
        </w:numPr>
        <w:jc w:val="left"/>
        <w:rPr>
          <w:rFonts w:ascii="Times New Roman" w:hAnsi="Times New Roman" w:eastAsia="仿宋"/>
          <w:color w:val="auto"/>
          <w:szCs w:val="28"/>
        </w:rPr>
      </w:pPr>
      <w:r>
        <w:rPr>
          <w:rFonts w:hint="eastAsia" w:ascii="方正仿宋_GBK" w:hAnsi="方正仿宋_GBK" w:cs="方正仿宋_GBK"/>
          <w:color w:val="auto"/>
          <w:sz w:val="21"/>
          <w:szCs w:val="21"/>
        </w:rPr>
        <w:br w:type="column"/>
      </w:r>
      <w:r>
        <w:rPr>
          <w:rFonts w:hint="eastAsia" w:ascii="Times New Roman" w:hAnsi="Times New Roman" w:eastAsia="仿宋"/>
          <w:color w:val="auto"/>
        </w:rPr>
        <w:t>4.</w:t>
      </w:r>
      <w:r>
        <w:rPr>
          <w:rFonts w:ascii="Times New Roman" w:hAnsi="Times New Roman" w:eastAsia="仿宋"/>
          <w:color w:val="auto"/>
          <w:szCs w:val="28"/>
        </w:rPr>
        <w:t>基本资格条件承诺函</w:t>
      </w:r>
    </w:p>
    <w:p w14:paraId="4761B533">
      <w:pPr>
        <w:pStyle w:val="8"/>
        <w:numPr>
          <w:ilvl w:val="255"/>
          <w:numId w:val="0"/>
        </w:numPr>
        <w:rPr>
          <w:color w:val="auto"/>
        </w:rPr>
      </w:pPr>
    </w:p>
    <w:p w14:paraId="0A715254">
      <w:pPr>
        <w:spacing w:line="530" w:lineRule="exact"/>
        <w:ind w:firstLine="562"/>
        <w:jc w:val="center"/>
        <w:outlineLvl w:val="0"/>
        <w:rPr>
          <w:rFonts w:ascii="方正仿宋_GBK" w:hAnsi="方正仿宋_GBK" w:cs="方正仿宋_GBK"/>
          <w:b/>
          <w:bCs/>
          <w:color w:val="auto"/>
          <w:szCs w:val="28"/>
        </w:rPr>
      </w:pPr>
      <w:bookmarkStart w:id="189" w:name="_Toc194572032"/>
      <w:r>
        <w:rPr>
          <w:rFonts w:hint="eastAsia" w:ascii="方正仿宋_GBK" w:hAnsi="方正仿宋_GBK" w:cs="方正仿宋_GBK"/>
          <w:b/>
          <w:bCs/>
          <w:color w:val="auto"/>
          <w:szCs w:val="28"/>
        </w:rPr>
        <w:t>基本资格条件承诺函</w:t>
      </w:r>
      <w:bookmarkEnd w:id="189"/>
    </w:p>
    <w:p w14:paraId="38700A1A">
      <w:pPr>
        <w:tabs>
          <w:tab w:val="left" w:pos="6300"/>
        </w:tabs>
        <w:snapToGrid w:val="0"/>
        <w:spacing w:line="530" w:lineRule="exact"/>
        <w:ind w:firstLine="0" w:firstLineChars="0"/>
        <w:rPr>
          <w:rFonts w:ascii="方正仿宋_GBK" w:hAnsi="方正仿宋_GBK" w:cs="方正仿宋_GBK"/>
          <w:color w:val="auto"/>
          <w:szCs w:val="28"/>
        </w:rPr>
      </w:pPr>
    </w:p>
    <w:p w14:paraId="3D405A04">
      <w:pPr>
        <w:tabs>
          <w:tab w:val="left" w:pos="6300"/>
        </w:tabs>
        <w:snapToGrid w:val="0"/>
        <w:spacing w:line="530" w:lineRule="exact"/>
        <w:ind w:firstLine="0" w:firstLineChars="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（采购人名称）：</w:t>
      </w:r>
    </w:p>
    <w:p w14:paraId="68CA2BBC">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u w:val="single"/>
        </w:rPr>
        <w:t xml:space="preserve">                      （参选人名称）</w:t>
      </w:r>
      <w:r>
        <w:rPr>
          <w:rFonts w:hint="eastAsia" w:ascii="方正仿宋_GBK" w:hAnsi="方正仿宋_GBK" w:cs="方正仿宋_GBK"/>
          <w:color w:val="auto"/>
          <w:szCs w:val="28"/>
        </w:rPr>
        <w:t>郑重承诺：</w:t>
      </w:r>
    </w:p>
    <w:p w14:paraId="2EFCB4CC">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1.我方具有良好的商业信誉和健全的财务会计制度，具有履行合同所必需的设备和专业技术能力，具有依法缴纳税收和社会保障金的良好记录，参加本项目采购活动前三年内无重大违法活动记录。</w:t>
      </w:r>
    </w:p>
    <w:p w14:paraId="2FB0C65C">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2.我方未列入信用中国网站（www.creditchina.gov.cn）“失信被执行人”“重大税收违法案件当事人名单”中。</w:t>
      </w:r>
    </w:p>
    <w:p w14:paraId="2BB67F81">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3.我方在采购项目评审（评选）环节结束后，随时接受采购人的检查验证，配合提供相关证明材料，证明符合比选文件规定的参选人基本资格条件。</w:t>
      </w:r>
    </w:p>
    <w:p w14:paraId="134647AA">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我方对以上承诺负全部法律责任。</w:t>
      </w:r>
    </w:p>
    <w:p w14:paraId="0A380965">
      <w:pPr>
        <w:tabs>
          <w:tab w:val="left" w:pos="6300"/>
        </w:tabs>
        <w:snapToGrid w:val="0"/>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特此承诺。</w:t>
      </w:r>
    </w:p>
    <w:p w14:paraId="22CD29DB">
      <w:pPr>
        <w:tabs>
          <w:tab w:val="left" w:pos="6300"/>
        </w:tabs>
        <w:snapToGrid w:val="0"/>
        <w:spacing w:line="530" w:lineRule="exact"/>
        <w:ind w:firstLine="0" w:firstLineChars="0"/>
        <w:rPr>
          <w:rFonts w:ascii="方正仿宋_GBK" w:hAnsi="方正仿宋_GBK" w:cs="方正仿宋_GBK"/>
          <w:color w:val="auto"/>
          <w:szCs w:val="28"/>
        </w:rPr>
      </w:pPr>
    </w:p>
    <w:p w14:paraId="33CB78F2">
      <w:pPr>
        <w:tabs>
          <w:tab w:val="left" w:pos="6300"/>
        </w:tabs>
        <w:snapToGrid w:val="0"/>
        <w:spacing w:line="530" w:lineRule="exact"/>
        <w:ind w:right="424" w:firstLine="570" w:firstLineChars="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1FEBB335">
      <w:pPr>
        <w:tabs>
          <w:tab w:val="left" w:pos="6300"/>
        </w:tabs>
        <w:snapToGrid w:val="0"/>
        <w:spacing w:line="500" w:lineRule="exact"/>
        <w:ind w:firstLine="0" w:firstLineChars="0"/>
        <w:jc w:val="center"/>
        <w:rPr>
          <w:rFonts w:ascii="方正仿宋_GBK" w:hAnsi="方正仿宋_GBK" w:cs="方正仿宋_GBK"/>
          <w:color w:val="auto"/>
          <w:szCs w:val="28"/>
        </w:rPr>
      </w:pPr>
      <w:r>
        <w:rPr>
          <w:rFonts w:hint="eastAsia" w:ascii="方正仿宋_GBK" w:hAnsi="方正仿宋_GBK" w:cs="方正仿宋_GBK"/>
          <w:color w:val="auto"/>
          <w:szCs w:val="28"/>
        </w:rPr>
        <w:t xml:space="preserve">                                              年   月   日</w:t>
      </w:r>
    </w:p>
    <w:p w14:paraId="3046C32F">
      <w:pPr>
        <w:widowControl/>
        <w:ind w:firstLine="0" w:firstLineChars="0"/>
        <w:jc w:val="left"/>
        <w:rPr>
          <w:rFonts w:ascii="方正仿宋_GBK" w:hAnsi="方正仿宋_GBK" w:cs="方正仿宋_GBK"/>
          <w:color w:val="auto"/>
          <w:sz w:val="21"/>
          <w:szCs w:val="21"/>
        </w:rPr>
      </w:pPr>
    </w:p>
    <w:p w14:paraId="25BAAE21">
      <w:pPr>
        <w:tabs>
          <w:tab w:val="left" w:pos="6300"/>
        </w:tabs>
        <w:snapToGrid w:val="0"/>
        <w:spacing w:line="500" w:lineRule="exact"/>
        <w:ind w:firstLine="420"/>
        <w:jc w:val="center"/>
        <w:rPr>
          <w:rFonts w:ascii="方正仿宋_GBK" w:hAnsi="方正仿宋_GBK" w:cs="方正仿宋_GBK"/>
          <w:color w:val="auto"/>
          <w:sz w:val="21"/>
          <w:szCs w:val="21"/>
        </w:rPr>
      </w:pPr>
    </w:p>
    <w:p w14:paraId="05B6E97B">
      <w:pPr>
        <w:tabs>
          <w:tab w:val="left" w:pos="6300"/>
        </w:tabs>
        <w:snapToGrid w:val="0"/>
        <w:spacing w:line="500" w:lineRule="exact"/>
        <w:ind w:firstLine="560"/>
        <w:jc w:val="center"/>
        <w:rPr>
          <w:rFonts w:ascii="Times New Roman" w:hAnsi="Times New Roman" w:eastAsia="仿宋"/>
          <w:color w:val="auto"/>
        </w:rPr>
      </w:pPr>
    </w:p>
    <w:p w14:paraId="5527BDB8">
      <w:pPr>
        <w:tabs>
          <w:tab w:val="left" w:pos="6300"/>
        </w:tabs>
        <w:snapToGrid w:val="0"/>
        <w:spacing w:line="500" w:lineRule="exact"/>
        <w:ind w:firstLine="560"/>
        <w:jc w:val="center"/>
        <w:rPr>
          <w:rFonts w:ascii="Times New Roman" w:hAnsi="Times New Roman" w:eastAsia="仿宋"/>
          <w:color w:val="auto"/>
        </w:rPr>
      </w:pPr>
    </w:p>
    <w:p w14:paraId="70A611DC">
      <w:pPr>
        <w:tabs>
          <w:tab w:val="left" w:pos="6300"/>
        </w:tabs>
        <w:snapToGrid w:val="0"/>
        <w:spacing w:line="500" w:lineRule="exact"/>
        <w:ind w:firstLine="0" w:firstLineChars="0"/>
        <w:jc w:val="left"/>
        <w:rPr>
          <w:rFonts w:ascii="Times New Roman" w:hAnsi="Times New Roman" w:eastAsia="仿宋"/>
          <w:color w:val="auto"/>
          <w:szCs w:val="28"/>
        </w:rPr>
      </w:pPr>
      <w:r>
        <w:rPr>
          <w:rFonts w:ascii="Times New Roman" w:hAnsi="Times New Roman" w:eastAsia="仿宋"/>
          <w:color w:val="auto"/>
        </w:rPr>
        <w:t>5.承诺函（格式自拟）</w:t>
      </w:r>
    </w:p>
    <w:p w14:paraId="2E0812D8">
      <w:pPr>
        <w:pStyle w:val="14"/>
        <w:ind w:firstLine="480"/>
        <w:rPr>
          <w:rFonts w:eastAsia="仿宋"/>
          <w:color w:val="auto"/>
        </w:rPr>
      </w:pPr>
    </w:p>
    <w:p w14:paraId="06C7ADEE">
      <w:pPr>
        <w:snapToGrid w:val="0"/>
        <w:spacing w:line="560" w:lineRule="exact"/>
        <w:ind w:firstLine="560"/>
        <w:jc w:val="center"/>
        <w:rPr>
          <w:rFonts w:ascii="方正仿宋_GBK" w:hAnsi="方正仿宋_GBK" w:cs="方正仿宋_GBK"/>
          <w:bCs/>
          <w:szCs w:val="28"/>
        </w:rPr>
      </w:pPr>
      <w:r>
        <w:rPr>
          <w:rFonts w:hint="eastAsia" w:ascii="方正仿宋_GBK" w:hAnsi="方正仿宋_GBK" w:cs="方正仿宋_GBK"/>
          <w:bCs/>
          <w:szCs w:val="28"/>
        </w:rPr>
        <w:t>承诺函</w:t>
      </w:r>
    </w:p>
    <w:p w14:paraId="3568458C">
      <w:pPr>
        <w:snapToGrid w:val="0"/>
        <w:spacing w:line="500" w:lineRule="exact"/>
        <w:ind w:firstLine="560"/>
        <w:rPr>
          <w:rFonts w:ascii="方正仿宋_GBK" w:hAnsi="方正仿宋_GBK" w:cs="方正仿宋_GBK"/>
          <w:bCs/>
          <w:szCs w:val="28"/>
        </w:rPr>
      </w:pPr>
      <w:r>
        <w:rPr>
          <w:rFonts w:hint="eastAsia" w:ascii="方正仿宋_GBK" w:hAnsi="方正仿宋_GBK" w:cs="方正仿宋_GBK"/>
          <w:bCs/>
          <w:szCs w:val="28"/>
        </w:rPr>
        <w:t xml:space="preserve"> </w:t>
      </w:r>
    </w:p>
    <w:p w14:paraId="7C40EDA3">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（采购人）：</w:t>
      </w:r>
    </w:p>
    <w:p w14:paraId="61E987FD">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我单位在参加</w:t>
      </w:r>
      <w:r>
        <w:rPr>
          <w:rFonts w:hint="eastAsia" w:ascii="方正仿宋_GBK" w:hAnsi="方正仿宋_GBK" w:cs="方正仿宋_GBK"/>
          <w:color w:val="auto"/>
          <w:szCs w:val="28"/>
          <w:u w:val="single"/>
        </w:rPr>
        <w:t xml:space="preserve">           （项目名称）</w:t>
      </w:r>
      <w:r>
        <w:rPr>
          <w:rFonts w:hint="eastAsia" w:ascii="方正仿宋_GBK" w:hAnsi="方正仿宋_GBK" w:cs="方正仿宋_GBK"/>
          <w:color w:val="auto"/>
          <w:szCs w:val="28"/>
        </w:rPr>
        <w:t>采购活动中，郑重承诺不存在下列情形：</w:t>
      </w:r>
    </w:p>
    <w:p w14:paraId="5712E5D3">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1.单位股东非华龙网公司员工及配偶、员工子女及其配偶；</w:t>
      </w:r>
    </w:p>
    <w:p w14:paraId="0B07C59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2.单位负责人为同一人或者存在直接控股、管理关系的不同参选人，不得参加同一合同项（包）下的比选活动”。</w:t>
      </w:r>
    </w:p>
    <w:p w14:paraId="443407F3">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我单位若有违反本承诺内容的行为，愿意承担法律责任，愿意接受相关规定做出的处罚。</w:t>
      </w:r>
    </w:p>
    <w:p w14:paraId="1B21C3CE">
      <w:pPr>
        <w:spacing w:line="530" w:lineRule="exact"/>
        <w:ind w:firstLine="560"/>
        <w:rPr>
          <w:rFonts w:ascii="方正仿宋_GBK" w:hAnsi="方正仿宋_GBK" w:cs="方正仿宋_GBK"/>
          <w:color w:val="auto"/>
          <w:szCs w:val="28"/>
        </w:rPr>
      </w:pPr>
    </w:p>
    <w:p w14:paraId="79617718">
      <w:pPr>
        <w:spacing w:line="530" w:lineRule="exact"/>
        <w:ind w:firstLine="560"/>
        <w:rPr>
          <w:rFonts w:ascii="方正仿宋_GBK" w:hAnsi="方正仿宋_GBK" w:cs="方正仿宋_GBK"/>
          <w:color w:val="auto"/>
          <w:szCs w:val="28"/>
        </w:rPr>
      </w:pPr>
    </w:p>
    <w:p w14:paraId="2B22DBF1">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参选人法定代表人签字：</w:t>
      </w:r>
    </w:p>
    <w:p w14:paraId="735C68B7">
      <w:pPr>
        <w:snapToGrid w:val="0"/>
        <w:spacing w:line="500" w:lineRule="exact"/>
        <w:ind w:firstLine="560"/>
        <w:rPr>
          <w:rFonts w:ascii="方正仿宋_GBK" w:hAnsi="方正仿宋_GBK" w:cs="方正仿宋_GBK"/>
          <w:bCs/>
          <w:szCs w:val="28"/>
        </w:rPr>
      </w:pPr>
    </w:p>
    <w:p w14:paraId="3B2A2F37">
      <w:pPr>
        <w:snapToGrid w:val="0"/>
        <w:spacing w:line="500" w:lineRule="exact"/>
        <w:ind w:firstLine="560"/>
        <w:rPr>
          <w:rFonts w:ascii="方正仿宋_GBK" w:hAnsi="方正仿宋_GBK" w:cs="方正仿宋_GBK"/>
          <w:bCs/>
          <w:szCs w:val="28"/>
        </w:rPr>
      </w:pPr>
    </w:p>
    <w:p w14:paraId="5C6218D6">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3A5FAB00">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ab/>
      </w:r>
      <w:r>
        <w:rPr>
          <w:rFonts w:hint="eastAsia" w:ascii="方正仿宋_GBK" w:hAnsi="方正仿宋_GBK" w:cs="方正仿宋_GBK"/>
          <w:color w:val="auto"/>
          <w:szCs w:val="28"/>
        </w:rPr>
        <w:t xml:space="preserve">                                       年    月    日</w:t>
      </w:r>
    </w:p>
    <w:p w14:paraId="032FF000">
      <w:pPr>
        <w:ind w:firstLine="560"/>
        <w:rPr>
          <w:rFonts w:ascii="Times New Roman" w:hAnsi="Times New Roman" w:eastAsia="仿宋"/>
          <w:color w:val="auto"/>
          <w:szCs w:val="28"/>
        </w:rPr>
      </w:pPr>
    </w:p>
    <w:p w14:paraId="6116F109">
      <w:pPr>
        <w:pStyle w:val="14"/>
        <w:ind w:firstLine="480"/>
        <w:rPr>
          <w:rFonts w:eastAsia="仿宋"/>
          <w:color w:val="auto"/>
        </w:rPr>
      </w:pPr>
    </w:p>
    <w:p w14:paraId="4829D996">
      <w:pPr>
        <w:pStyle w:val="25"/>
        <w:ind w:firstLine="0" w:firstLineChars="0"/>
      </w:pPr>
    </w:p>
    <w:p w14:paraId="088D2EE1">
      <w:pPr>
        <w:pStyle w:val="25"/>
        <w:ind w:firstLine="0" w:firstLineChars="0"/>
      </w:pPr>
    </w:p>
    <w:p w14:paraId="2B4C29FB">
      <w:pPr>
        <w:pStyle w:val="25"/>
        <w:ind w:firstLine="0" w:firstLineChars="0"/>
      </w:pPr>
    </w:p>
    <w:p w14:paraId="23F35D86">
      <w:pPr>
        <w:widowControl/>
        <w:spacing w:line="240" w:lineRule="auto"/>
        <w:ind w:firstLine="0" w:firstLineChars="0"/>
        <w:jc w:val="left"/>
        <w:rPr>
          <w:rFonts w:ascii="Times New Roman" w:hAnsi="Times New Roman" w:eastAsia="仿宋"/>
          <w:b/>
          <w:bCs/>
          <w:color w:val="auto"/>
          <w:sz w:val="32"/>
          <w:szCs w:val="32"/>
        </w:rPr>
      </w:pPr>
      <w:r>
        <w:rPr>
          <w:rFonts w:ascii="Times New Roman" w:hAnsi="Times New Roman" w:eastAsia="仿宋"/>
          <w:color w:val="auto"/>
          <w:szCs w:val="28"/>
        </w:rPr>
        <w:t>6.诚信声明</w:t>
      </w:r>
      <w:bookmarkEnd w:id="143"/>
      <w:bookmarkEnd w:id="144"/>
      <w:bookmarkEnd w:id="145"/>
      <w:bookmarkEnd w:id="146"/>
      <w:bookmarkEnd w:id="147"/>
    </w:p>
    <w:p w14:paraId="4A57A144">
      <w:pPr>
        <w:tabs>
          <w:tab w:val="left" w:pos="6300"/>
        </w:tabs>
        <w:spacing w:line="360" w:lineRule="auto"/>
        <w:ind w:firstLine="0" w:firstLineChars="0"/>
        <w:jc w:val="center"/>
        <w:rPr>
          <w:rFonts w:ascii="方正仿宋_GBK" w:hAnsi="方正仿宋_GBK" w:cs="方正仿宋_GBK"/>
          <w:b/>
          <w:bCs/>
          <w:color w:val="auto"/>
          <w:szCs w:val="28"/>
        </w:rPr>
      </w:pPr>
      <w:r>
        <w:rPr>
          <w:rFonts w:hint="eastAsia" w:ascii="方正仿宋_GBK" w:hAnsi="方正仿宋_GBK" w:cs="方正仿宋_GBK"/>
          <w:b/>
          <w:bCs/>
          <w:color w:val="auto"/>
          <w:szCs w:val="28"/>
        </w:rPr>
        <w:t>诚信声明</w:t>
      </w:r>
    </w:p>
    <w:p w14:paraId="1ED28166">
      <w:pPr>
        <w:tabs>
          <w:tab w:val="left" w:pos="6300"/>
        </w:tabs>
        <w:snapToGrid w:val="0"/>
        <w:spacing w:line="500" w:lineRule="exact"/>
        <w:ind w:firstLine="0" w:firstLineChars="0"/>
        <w:rPr>
          <w:rFonts w:ascii="方正仿宋_GBK" w:hAnsi="方正仿宋_GBK" w:cs="方正仿宋_GBK"/>
          <w:color w:val="auto"/>
          <w:szCs w:val="28"/>
        </w:rPr>
      </w:pPr>
      <w:r>
        <w:rPr>
          <w:rFonts w:hint="eastAsia" w:ascii="方正仿宋_GBK" w:hAnsi="方正仿宋_GBK" w:cs="方正仿宋_GBK"/>
          <w:color w:val="auto"/>
          <w:szCs w:val="28"/>
        </w:rPr>
        <w:t>致：</w:t>
      </w:r>
      <w:r>
        <w:rPr>
          <w:rFonts w:hint="eastAsia" w:ascii="方正仿宋_GBK" w:hAnsi="方正仿宋_GBK" w:cs="方正仿宋_GBK"/>
          <w:color w:val="auto"/>
          <w:szCs w:val="28"/>
          <w:u w:val="single"/>
        </w:rPr>
        <w:t xml:space="preserve">                     （采购人）：</w:t>
      </w:r>
    </w:p>
    <w:p w14:paraId="0CBAFBC7">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我单位在参加贵司组织的</w:t>
      </w:r>
      <w:r>
        <w:rPr>
          <w:rFonts w:hint="eastAsia" w:ascii="方正仿宋_GBK" w:hAnsi="方正仿宋_GBK" w:cs="方正仿宋_GBK"/>
          <w:color w:val="auto"/>
          <w:szCs w:val="28"/>
          <w:u w:val="single"/>
        </w:rPr>
        <w:t xml:space="preserve">          </w:t>
      </w:r>
      <w:r>
        <w:rPr>
          <w:rFonts w:hint="eastAsia" w:ascii="方正仿宋_GBK" w:hAnsi="方正仿宋_GBK" w:cs="方正仿宋_GBK"/>
          <w:color w:val="auto"/>
          <w:szCs w:val="28"/>
        </w:rPr>
        <w:t>（项目名称）竞争性比选活动中，郑重承诺如下：</w:t>
      </w:r>
    </w:p>
    <w:p w14:paraId="7C59ACF9">
      <w:pPr>
        <w:spacing w:line="530" w:lineRule="exact"/>
        <w:ind w:firstLine="560"/>
        <w:rPr>
          <w:rFonts w:ascii="方正仿宋_GBK" w:hAnsi="方正仿宋_GBK" w:cs="方正仿宋_GBK"/>
          <w:color w:val="auto"/>
          <w:spacing w:val="-6"/>
          <w:szCs w:val="28"/>
        </w:rPr>
      </w:pPr>
      <w:r>
        <w:rPr>
          <w:rFonts w:hint="eastAsia" w:ascii="方正仿宋_GBK" w:hAnsi="方正仿宋_GBK" w:cs="方正仿宋_GBK"/>
          <w:color w:val="auto"/>
          <w:szCs w:val="28"/>
        </w:rPr>
        <w:t>1.遵循公</w:t>
      </w:r>
      <w:r>
        <w:rPr>
          <w:rFonts w:hint="eastAsia" w:ascii="方正仿宋_GBK" w:hAnsi="方正仿宋_GBK" w:cs="方正仿宋_GBK"/>
          <w:color w:val="auto"/>
          <w:spacing w:val="-6"/>
          <w:szCs w:val="28"/>
        </w:rPr>
        <w:t>开、公平、公正和诚实守信的原则参加该项目竞争性比选活动；</w:t>
      </w:r>
    </w:p>
    <w:p w14:paraId="174DC8B1">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2.所提供的一切材料都是真实、有效、合法的；</w:t>
      </w:r>
    </w:p>
    <w:p w14:paraId="1E18E813">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3.不与参与此次竞争性比选活动的其他参选人相互串通报价，不排挤其他参选人的公平竞争；</w:t>
      </w:r>
    </w:p>
    <w:p w14:paraId="3C8BD61A">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4.不向采购人成员贿赂以牟取中选；</w:t>
      </w:r>
    </w:p>
    <w:p w14:paraId="5BA17BEF">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5.不以他人名义参与此次竞争性比选活动或者以其他方式弄虚作假；</w:t>
      </w:r>
    </w:p>
    <w:p w14:paraId="5D1C6D85">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6.不恶意压低或抬高报价；</w:t>
      </w:r>
    </w:p>
    <w:p w14:paraId="26A25E29">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7.不在竞争性比选活动后进行虚假恶意投诉；</w:t>
      </w:r>
    </w:p>
    <w:p w14:paraId="3E031260">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8.我单位一旦中选，不进行违法分包、转包，按照比选邀请函要求的时间与贵司签订合同，并严格按照采购人的要求完成本次项目。</w:t>
      </w:r>
    </w:p>
    <w:p w14:paraId="16E4D1A8">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我单位若有违反本承诺内容的行为，愿意承担法律责任，愿意接受相关规定做出的处罚。</w:t>
      </w:r>
    </w:p>
    <w:p w14:paraId="634BD945">
      <w:pPr>
        <w:spacing w:line="530" w:lineRule="exact"/>
        <w:ind w:firstLine="560"/>
        <w:rPr>
          <w:rFonts w:ascii="方正仿宋_GBK" w:hAnsi="方正仿宋_GBK" w:cs="方正仿宋_GBK"/>
          <w:color w:val="auto"/>
          <w:szCs w:val="28"/>
        </w:rPr>
      </w:pPr>
    </w:p>
    <w:p w14:paraId="6FDB1197">
      <w:pPr>
        <w:spacing w:line="530" w:lineRule="exact"/>
        <w:ind w:firstLine="560"/>
        <w:rPr>
          <w:rFonts w:ascii="方正仿宋_GBK" w:hAnsi="方正仿宋_GBK" w:cs="方正仿宋_GBK"/>
          <w:color w:val="auto"/>
          <w:szCs w:val="28"/>
        </w:rPr>
      </w:pPr>
      <w:r>
        <w:rPr>
          <w:rFonts w:hint="eastAsia" w:ascii="方正仿宋_GBK" w:hAnsi="方正仿宋_GBK" w:cs="方正仿宋_GBK"/>
          <w:color w:val="auto"/>
          <w:szCs w:val="28"/>
        </w:rPr>
        <w:t>参选人法定代表人签字：</w:t>
      </w:r>
    </w:p>
    <w:p w14:paraId="423ED2C7">
      <w:pPr>
        <w:tabs>
          <w:tab w:val="left" w:pos="6300"/>
        </w:tabs>
        <w:snapToGrid w:val="0"/>
        <w:spacing w:line="360" w:lineRule="auto"/>
        <w:ind w:firstLine="560"/>
        <w:rPr>
          <w:rFonts w:ascii="方正仿宋_GBK" w:hAnsi="方正仿宋_GBK" w:cs="方正仿宋_GBK"/>
          <w:color w:val="auto"/>
          <w:szCs w:val="28"/>
        </w:rPr>
      </w:pPr>
    </w:p>
    <w:p w14:paraId="7F28FF1F">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（参选人公章）</w:t>
      </w:r>
    </w:p>
    <w:p w14:paraId="62D03881">
      <w:pPr>
        <w:spacing w:line="530" w:lineRule="exact"/>
        <w:ind w:firstLine="560"/>
        <w:jc w:val="right"/>
        <w:rPr>
          <w:rFonts w:ascii="方正仿宋_GBK" w:hAnsi="方正仿宋_GBK" w:cs="方正仿宋_GBK"/>
          <w:color w:val="auto"/>
          <w:szCs w:val="28"/>
        </w:rPr>
      </w:pPr>
      <w:r>
        <w:rPr>
          <w:rFonts w:hint="eastAsia" w:ascii="方正仿宋_GBK" w:hAnsi="方正仿宋_GBK" w:cs="方正仿宋_GBK"/>
          <w:color w:val="auto"/>
          <w:szCs w:val="28"/>
        </w:rPr>
        <w:tab/>
      </w:r>
      <w:r>
        <w:rPr>
          <w:rFonts w:hint="eastAsia" w:ascii="方正仿宋_GBK" w:hAnsi="方正仿宋_GBK" w:cs="方正仿宋_GBK"/>
          <w:color w:val="auto"/>
          <w:szCs w:val="28"/>
        </w:rPr>
        <w:t xml:space="preserve">                                       年    月    日</w:t>
      </w:r>
      <w:bookmarkStart w:id="190" w:name="_Toc20481"/>
      <w:bookmarkStart w:id="191" w:name="_Toc16237"/>
      <w:bookmarkStart w:id="192" w:name="_Toc194572033"/>
    </w:p>
    <w:p w14:paraId="69148A99">
      <w:pPr>
        <w:pStyle w:val="14"/>
        <w:ind w:firstLine="480"/>
      </w:pPr>
    </w:p>
    <w:p w14:paraId="5415F256">
      <w:pPr>
        <w:ind w:left="560" w:firstLine="0" w:firstLineChars="0"/>
      </w:pPr>
    </w:p>
    <w:p w14:paraId="68FEB684">
      <w:pPr>
        <w:pStyle w:val="2"/>
        <w:ind w:firstLine="562"/>
        <w:jc w:val="center"/>
        <w:rPr>
          <w:rFonts w:ascii="Times New Roman" w:hAnsi="Times New Roman" w:eastAsia="仿宋" w:cs="Times New Roman"/>
          <w:b/>
          <w:bCs/>
          <w:color w:val="auto"/>
          <w:sz w:val="28"/>
          <w:szCs w:val="28"/>
        </w:rPr>
      </w:pPr>
      <w:r>
        <w:rPr>
          <w:rFonts w:ascii="Times New Roman" w:hAnsi="Times New Roman" w:eastAsia="仿宋" w:cs="Times New Roman"/>
          <w:b/>
          <w:bCs/>
          <w:color w:val="auto"/>
          <w:sz w:val="28"/>
          <w:szCs w:val="28"/>
        </w:rPr>
        <w:t>（结束）</w:t>
      </w:r>
      <w:bookmarkEnd w:id="190"/>
      <w:bookmarkEnd w:id="191"/>
      <w:bookmarkEnd w:id="192"/>
    </w:p>
    <w:p w14:paraId="0EACC7AA">
      <w:pPr>
        <w:ind w:firstLine="560"/>
        <w:rPr>
          <w:rFonts w:ascii="Times New Roman" w:hAnsi="Times New Roman" w:eastAsia="仿宋"/>
          <w:color w:val="auto"/>
        </w:rPr>
      </w:pPr>
    </w:p>
    <w:p w14:paraId="157472D7">
      <w:pPr>
        <w:ind w:firstLine="560"/>
      </w:pPr>
    </w:p>
    <w:sectPr>
      <w:headerReference r:id="rId11" w:type="default"/>
      <w:footerReference r:id="rId12" w:type="default"/>
      <w:pgSz w:w="11906" w:h="16838"/>
      <w:pgMar w:top="2098" w:right="1531" w:bottom="1985" w:left="1531" w:header="851" w:footer="567" w:gutter="0"/>
      <w:pgNumType w:start="1"/>
      <w:cols w:space="425" w:num="1"/>
      <w:docGrid w:type="lines" w:linePitch="381"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0B6FE92A-CF00-4216-AA57-03216E88144F}"/>
  </w:font>
  <w:font w:name="宋体">
    <w:panose1 w:val="02010600030101010101"/>
    <w:charset w:val="86"/>
    <w:family w:val="auto"/>
    <w:pitch w:val="default"/>
    <w:sig w:usb0="00000203" w:usb1="288F0000" w:usb2="00000006" w:usb3="00000000" w:csb0="00040001" w:csb1="00000000"/>
    <w:embedRegular r:id="rId2" w:fontKey="{97D25F24-FF07-47DE-8DD4-1D2A790F85A2}"/>
  </w:font>
  <w:font w:name="Wingdings">
    <w:panose1 w:val="05000000000000000000"/>
    <w:charset w:val="02"/>
    <w:family w:val="auto"/>
    <w:pitch w:val="default"/>
    <w:sig w:usb0="00000000" w:usb1="00000000" w:usb2="00000000" w:usb3="00000000" w:csb0="80000000" w:csb1="00000000"/>
    <w:embedRegular r:id="rId3" w:fontKey="{326D8F33-CBE4-4E6A-A3C1-9FCC4C9BB520}"/>
  </w:font>
  <w:font w:name="Arial">
    <w:panose1 w:val="020B0604020202020204"/>
    <w:charset w:val="01"/>
    <w:family w:val="swiss"/>
    <w:pitch w:val="default"/>
    <w:sig w:usb0="E0002EFF" w:usb1="C000785B" w:usb2="00000009" w:usb3="00000000" w:csb0="400001FF" w:csb1="FFFF0000"/>
    <w:embedRegular r:id="rId4" w:fontKey="{BE5C15A3-2C1E-420D-AFFF-2E7CED6D8F01}"/>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5" w:fontKey="{3F2DD9D7-2536-4AFD-859C-649D158F60AA}"/>
  </w:font>
  <w:font w:name="Symbol">
    <w:panose1 w:val="05050102010706020507"/>
    <w:charset w:val="02"/>
    <w:family w:val="roman"/>
    <w:pitch w:val="default"/>
    <w:sig w:usb0="00000000" w:usb1="00000000" w:usb2="00000000" w:usb3="00000000" w:csb0="80000000" w:csb1="00000000"/>
    <w:embedRegular r:id="rId6" w:fontKey="{9EF07F95-6219-49C9-96A3-BF26DD06B939}"/>
  </w:font>
  <w:font w:name="Calibri">
    <w:panose1 w:val="020F0502020204030204"/>
    <w:charset w:val="00"/>
    <w:family w:val="swiss"/>
    <w:pitch w:val="default"/>
    <w:sig w:usb0="E4002EFF" w:usb1="C200247B" w:usb2="00000009" w:usb3="00000000" w:csb0="200001FF" w:csb1="00000000"/>
    <w:embedRegular r:id="rId7" w:fontKey="{6AE6C9F9-CF64-4BED-A593-A169422BEE1A}"/>
  </w:font>
  <w:font w:name="方正仿宋_GBK">
    <w:panose1 w:val="03000509000000000000"/>
    <w:charset w:val="86"/>
    <w:family w:val="script"/>
    <w:pitch w:val="default"/>
    <w:sig w:usb0="00000001" w:usb1="080E0000" w:usb2="00000000" w:usb3="00000000" w:csb0="00040000" w:csb1="00000000"/>
    <w:embedRegular r:id="rId8" w:fontKey="{01537DF5-101F-480A-A1C1-C63C2340D2A4}"/>
  </w:font>
  <w:font w:name="Calibri Light">
    <w:panose1 w:val="020F0302020204030204"/>
    <w:charset w:val="00"/>
    <w:family w:val="swiss"/>
    <w:pitch w:val="default"/>
    <w:sig w:usb0="E4002EFF" w:usb1="C200247B" w:usb2="00000009" w:usb3="00000000" w:csb0="200001FF" w:csb1="00000000"/>
    <w:embedRegular r:id="rId9" w:fontKey="{1C76E40B-E30C-4367-934B-9BD6DBA31B01}"/>
  </w:font>
  <w:font w:name="Mona Medium">
    <w:altName w:val="Segoe Print"/>
    <w:panose1 w:val="00000000000000000000"/>
    <w:charset w:val="00"/>
    <w:family w:val="auto"/>
    <w:pitch w:val="default"/>
    <w:sig w:usb0="00000000" w:usb1="00000000" w:usb2="00000000" w:usb3="00000000" w:csb0="20000193" w:csb1="00000000"/>
    <w:embedRegular r:id="rId10" w:fontKey="{B3D835F4-F502-4599-91D0-58E0E2F15FDE}"/>
  </w:font>
  <w:font w:name="Segoe Print">
    <w:panose1 w:val="02000600000000000000"/>
    <w:charset w:val="00"/>
    <w:family w:val="auto"/>
    <w:pitch w:val="default"/>
    <w:sig w:usb0="0000028F" w:usb1="00000000" w:usb2="00000000" w:usb3="00000000" w:csb0="2000009F" w:csb1="47010000"/>
    <w:embedRegular r:id="rId11" w:fontKey="{AB998613-67B7-4373-82D9-4902F88BA78D}"/>
  </w:font>
  <w:font w:name="Courier New">
    <w:panose1 w:val="02070309020205020404"/>
    <w:charset w:val="00"/>
    <w:family w:val="modern"/>
    <w:pitch w:val="default"/>
    <w:sig w:usb0="E0002EFF" w:usb1="C0007843" w:usb2="00000009" w:usb3="00000000" w:csb0="400001FF" w:csb1="FFFF0000"/>
    <w:embedRegular r:id="rId12" w:fontKey="{83C2F45F-8558-4AD1-932F-7253B9204AA1}"/>
  </w:font>
  <w:font w:name="仿宋_GB2312">
    <w:panose1 w:val="02010609030101010101"/>
    <w:charset w:val="86"/>
    <w:family w:val="modern"/>
    <w:pitch w:val="default"/>
    <w:sig w:usb0="00000001" w:usb1="080E0000" w:usb2="00000000" w:usb3="00000000" w:csb0="00040000" w:csb1="00000000"/>
    <w:embedRegular r:id="rId13" w:fontKey="{B1D1C0EA-1B41-44B7-B0A5-F48F64933C3F}"/>
  </w:font>
  <w:font w:name="仿宋">
    <w:panose1 w:val="02010609060101010101"/>
    <w:charset w:val="86"/>
    <w:family w:val="modern"/>
    <w:pitch w:val="default"/>
    <w:sig w:usb0="800002BF" w:usb1="38CF7CFA" w:usb2="00000016" w:usb3="00000000" w:csb0="00040001" w:csb1="00000000"/>
    <w:embedRegular r:id="rId14" w:fontKey="{6E8A6CEA-0054-4381-9B36-E6C3444B0252}"/>
  </w:font>
  <w:font w:name="方正小标宋_GBK">
    <w:panose1 w:val="03000509000000000000"/>
    <w:charset w:val="86"/>
    <w:family w:val="script"/>
    <w:pitch w:val="default"/>
    <w:sig w:usb0="00000001" w:usb1="080E0000" w:usb2="00000000" w:usb3="00000000" w:csb0="00040000" w:csb1="00000000"/>
    <w:embedRegular r:id="rId15" w:fontKey="{B4E57850-A854-4F99-9A1A-61E6C7606665}"/>
  </w:font>
  <w:font w:name="方正黑体_GBK">
    <w:panose1 w:val="03000509000000000000"/>
    <w:charset w:val="86"/>
    <w:family w:val="script"/>
    <w:pitch w:val="default"/>
    <w:sig w:usb0="00000001" w:usb1="080E0000" w:usb2="00000000" w:usb3="00000000" w:csb0="00040000" w:csb1="00000000"/>
    <w:embedRegular r:id="rId16" w:fontKey="{89F0C8C7-D1E4-450D-AB1F-A9042BF13805}"/>
  </w:font>
  <w:font w:name="Cambria">
    <w:panose1 w:val="02040503050406030204"/>
    <w:charset w:val="00"/>
    <w:family w:val="roman"/>
    <w:pitch w:val="default"/>
    <w:sig w:usb0="E00006FF" w:usb1="420024FF" w:usb2="02000000" w:usb3="00000000" w:csb0="2000019F" w:csb1="00000000"/>
    <w:embedRegular r:id="rId17" w:fontKey="{8C08B85E-3B44-46DB-8BC0-5279FA35D88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75D0D6">
    <w:pPr>
      <w:pStyle w:val="12"/>
      <w:ind w:firstLine="422"/>
      <w:jc w:val="center"/>
      <w:rPr>
        <w:rFonts w:ascii="Times New Roman" w:hAnsi="Times New Roman"/>
        <w:b/>
        <w:sz w:val="21"/>
        <w:szCs w:val="21"/>
      </w:rPr>
    </w:pPr>
  </w:p>
  <w:p w14:paraId="52D96FD1">
    <w:pPr>
      <w:pStyle w:val="12"/>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EADB6A">
    <w:pPr>
      <w:pStyle w:val="12"/>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17117C">
    <w:pPr>
      <w:pStyle w:val="12"/>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
    </w:sdtPr>
    <w:sdtEndPr>
      <w:rPr>
        <w:rFonts w:ascii="Times New Roman" w:hAnsi="Times New Roman"/>
        <w:b/>
        <w:bCs/>
        <w:sz w:val="21"/>
        <w:szCs w:val="21"/>
      </w:rPr>
    </w:sdtEndPr>
    <w:sdtContent>
      <w:p w14:paraId="208C1E3E">
        <w:pPr>
          <w:pStyle w:val="12"/>
          <w:ind w:firstLine="360"/>
          <w:jc w:val="center"/>
          <w:rPr>
            <w:rFonts w:ascii="Times New Roman" w:hAnsi="Times New Roman"/>
            <w:b/>
            <w:bCs/>
            <w:sz w:val="21"/>
            <w:szCs w:val="21"/>
          </w:rPr>
        </w:pPr>
        <w:r>
          <w:rPr>
            <w:rFonts w:ascii="Times New Roman" w:hAnsi="Times New Roman"/>
            <w:b/>
            <w:bCs/>
            <w:sz w:val="21"/>
            <w:szCs w:val="21"/>
          </w:rPr>
          <w:fldChar w:fldCharType="begin"/>
        </w:r>
        <w:r>
          <w:rPr>
            <w:rFonts w:ascii="Times New Roman" w:hAnsi="Times New Roman"/>
            <w:b/>
            <w:bCs/>
            <w:sz w:val="21"/>
            <w:szCs w:val="21"/>
          </w:rPr>
          <w:instrText xml:space="preserve">PAGE   \* MERGEFORMAT</w:instrText>
        </w:r>
        <w:r>
          <w:rPr>
            <w:rFonts w:ascii="Times New Roman" w:hAnsi="Times New Roman"/>
            <w:b/>
            <w:bCs/>
            <w:sz w:val="21"/>
            <w:szCs w:val="21"/>
          </w:rPr>
          <w:fldChar w:fldCharType="separate"/>
        </w:r>
        <w:r>
          <w:rPr>
            <w:rFonts w:ascii="Times New Roman" w:hAnsi="Times New Roman"/>
            <w:b/>
            <w:bCs/>
            <w:sz w:val="21"/>
            <w:szCs w:val="21"/>
            <w:lang w:val="zh-CN"/>
          </w:rPr>
          <w:t>2</w:t>
        </w:r>
        <w:r>
          <w:rPr>
            <w:rFonts w:ascii="Times New Roman" w:hAnsi="Times New Roman"/>
            <w:b/>
            <w:bCs/>
            <w:sz w:val="21"/>
            <w:szCs w:val="21"/>
          </w:rPr>
          <w:fldChar w:fldCharType="end"/>
        </w:r>
      </w:p>
    </w:sdtContent>
  </w:sdt>
  <w:p w14:paraId="3A7100B3">
    <w:pPr>
      <w:pStyle w:val="12"/>
      <w:tabs>
        <w:tab w:val="clear" w:pos="4153"/>
      </w:tabs>
      <w:ind w:firstLine="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560"/>
      </w:pPr>
      <w:r>
        <w:separator/>
      </w:r>
    </w:p>
  </w:footnote>
  <w:footnote w:type="continuationSeparator" w:id="1">
    <w:p>
      <w:pPr>
        <w:spacing w:line="24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200941">
    <w:pPr>
      <w:pStyle w:val="13"/>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2327BE">
    <w:pPr>
      <w:pStyle w:val="13"/>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CFA507">
    <w:pPr>
      <w:ind w:left="560" w:firstLine="0" w:firstLineChars="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6EBB70">
    <w:pPr>
      <w:pStyle w:val="13"/>
      <w:pBdr>
        <w:bottom w:val="none" w:color="auto" w:sz="0" w:space="1"/>
      </w:pBdr>
      <w:tabs>
        <w:tab w:val="left" w:pos="6527"/>
      </w:tabs>
      <w:ind w:firstLine="360"/>
      <w:jc w:val="left"/>
    </w:pPr>
    <w:r>
      <w:rPr>
        <w:rFonts w:hint="eastAsia"/>
      </w:rPr>
      <w:tab/>
    </w:r>
    <w:r>
      <w:rPr>
        <w:rFonts w:hint="eastAsia"/>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24FF664"/>
    <w:multiLevelType w:val="singleLevel"/>
    <w:tmpl w:val="824FF664"/>
    <w:lvl w:ilvl="0" w:tentative="0">
      <w:start w:val="2"/>
      <w:numFmt w:val="chineseCounting"/>
      <w:suff w:val="nothing"/>
      <w:lvlText w:val="（%1）"/>
      <w:lvlJc w:val="left"/>
      <w:rPr>
        <w:rFonts w:hint="eastAsia"/>
      </w:rPr>
    </w:lvl>
  </w:abstractNum>
  <w:abstractNum w:abstractNumId="1">
    <w:nsid w:val="92064B62"/>
    <w:multiLevelType w:val="singleLevel"/>
    <w:tmpl w:val="92064B62"/>
    <w:lvl w:ilvl="0" w:tentative="0">
      <w:start w:val="2"/>
      <w:numFmt w:val="chineseCounting"/>
      <w:suff w:val="nothing"/>
      <w:lvlText w:val="%1、"/>
      <w:lvlJc w:val="left"/>
      <w:rPr>
        <w:rFonts w:hint="eastAsia"/>
      </w:rPr>
    </w:lvl>
  </w:abstractNum>
  <w:abstractNum w:abstractNumId="2">
    <w:nsid w:val="E1F245F0"/>
    <w:multiLevelType w:val="singleLevel"/>
    <w:tmpl w:val="E1F245F0"/>
    <w:lvl w:ilvl="0" w:tentative="0">
      <w:start w:val="3"/>
      <w:numFmt w:val="chineseCounting"/>
      <w:suff w:val="nothing"/>
      <w:lvlText w:val="%1、"/>
      <w:lvlJc w:val="left"/>
      <w:rPr>
        <w:rFonts w:hint="eastAsia"/>
      </w:rPr>
    </w:lvl>
  </w:abstractNum>
  <w:abstractNum w:abstractNumId="3">
    <w:nsid w:val="ED5019BD"/>
    <w:multiLevelType w:val="singleLevel"/>
    <w:tmpl w:val="ED5019BD"/>
    <w:lvl w:ilvl="0" w:tentative="0">
      <w:start w:val="3"/>
      <w:numFmt w:val="chineseCounting"/>
      <w:suff w:val="nothing"/>
      <w:lvlText w:val="%1、"/>
      <w:lvlJc w:val="left"/>
      <w:rPr>
        <w:rFonts w:hint="eastAsia"/>
      </w:rPr>
    </w:lvl>
  </w:abstractNum>
  <w:abstractNum w:abstractNumId="4">
    <w:nsid w:val="EFB26377"/>
    <w:multiLevelType w:val="singleLevel"/>
    <w:tmpl w:val="EFB26377"/>
    <w:lvl w:ilvl="0" w:tentative="0">
      <w:start w:val="1"/>
      <w:numFmt w:val="chineseCounting"/>
      <w:suff w:val="nothing"/>
      <w:lvlText w:val="（%1）"/>
      <w:lvlJc w:val="left"/>
      <w:pPr>
        <w:ind w:left="0" w:firstLine="420"/>
      </w:pPr>
      <w:rPr>
        <w:rFonts w:hint="eastAsia"/>
      </w:rPr>
    </w:lvl>
  </w:abstractNum>
  <w:abstractNum w:abstractNumId="5">
    <w:nsid w:val="225F9DC0"/>
    <w:multiLevelType w:val="singleLevel"/>
    <w:tmpl w:val="225F9DC0"/>
    <w:lvl w:ilvl="0" w:tentative="0">
      <w:start w:val="1"/>
      <w:numFmt w:val="chineseCounting"/>
      <w:suff w:val="nothing"/>
      <w:lvlText w:val="（%1）"/>
      <w:lvlJc w:val="left"/>
      <w:pPr>
        <w:ind w:left="0" w:firstLine="420"/>
      </w:pPr>
      <w:rPr>
        <w:rFonts w:hint="eastAsia"/>
      </w:rPr>
    </w:lvl>
  </w:abstractNum>
  <w:abstractNum w:abstractNumId="6">
    <w:nsid w:val="468DA384"/>
    <w:multiLevelType w:val="singleLevel"/>
    <w:tmpl w:val="468DA384"/>
    <w:lvl w:ilvl="0" w:tentative="0">
      <w:start w:val="2"/>
      <w:numFmt w:val="decimal"/>
      <w:lvlText w:val="%1."/>
      <w:lvlJc w:val="left"/>
      <w:pPr>
        <w:tabs>
          <w:tab w:val="left" w:pos="312"/>
        </w:tabs>
      </w:pPr>
    </w:lvl>
  </w:abstractNum>
  <w:num w:numId="1">
    <w:abstractNumId w:val="4"/>
  </w:num>
  <w:num w:numId="2">
    <w:abstractNumId w:val="3"/>
  </w:num>
  <w:num w:numId="3">
    <w:abstractNumId w:val="2"/>
  </w:num>
  <w:num w:numId="4">
    <w:abstractNumId w:val="0"/>
  </w:num>
  <w:num w:numId="5">
    <w:abstractNumId w:val="5"/>
  </w:num>
  <w:num w:numId="6">
    <w:abstractNumId w:val="1"/>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embedSystemFonts/>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D5FED0BB"/>
    <w:rsid w:val="0002086E"/>
    <w:rsid w:val="00021D91"/>
    <w:rsid w:val="0003264D"/>
    <w:rsid w:val="00076B81"/>
    <w:rsid w:val="000831D6"/>
    <w:rsid w:val="00107353"/>
    <w:rsid w:val="00126F8D"/>
    <w:rsid w:val="00140319"/>
    <w:rsid w:val="001407B9"/>
    <w:rsid w:val="00284003"/>
    <w:rsid w:val="00292BD9"/>
    <w:rsid w:val="002D4200"/>
    <w:rsid w:val="002F15D3"/>
    <w:rsid w:val="002F559F"/>
    <w:rsid w:val="002F5F3A"/>
    <w:rsid w:val="00352115"/>
    <w:rsid w:val="00365E53"/>
    <w:rsid w:val="003A7155"/>
    <w:rsid w:val="003C27FD"/>
    <w:rsid w:val="003C65B4"/>
    <w:rsid w:val="003D3CEE"/>
    <w:rsid w:val="003E321A"/>
    <w:rsid w:val="003F6890"/>
    <w:rsid w:val="00405ECE"/>
    <w:rsid w:val="0042738F"/>
    <w:rsid w:val="004304C3"/>
    <w:rsid w:val="00441D45"/>
    <w:rsid w:val="00444C4B"/>
    <w:rsid w:val="004733B7"/>
    <w:rsid w:val="004B0429"/>
    <w:rsid w:val="004F477A"/>
    <w:rsid w:val="004F7844"/>
    <w:rsid w:val="005227C9"/>
    <w:rsid w:val="0053514C"/>
    <w:rsid w:val="00572017"/>
    <w:rsid w:val="00573468"/>
    <w:rsid w:val="00581325"/>
    <w:rsid w:val="00595555"/>
    <w:rsid w:val="005B5D63"/>
    <w:rsid w:val="00636453"/>
    <w:rsid w:val="00642306"/>
    <w:rsid w:val="006613C5"/>
    <w:rsid w:val="006678A5"/>
    <w:rsid w:val="006A7F6F"/>
    <w:rsid w:val="006D4692"/>
    <w:rsid w:val="006E2129"/>
    <w:rsid w:val="006E5EFE"/>
    <w:rsid w:val="006F2001"/>
    <w:rsid w:val="00700C4F"/>
    <w:rsid w:val="00700FBE"/>
    <w:rsid w:val="0074297D"/>
    <w:rsid w:val="0074638A"/>
    <w:rsid w:val="00787717"/>
    <w:rsid w:val="008104E9"/>
    <w:rsid w:val="00837AB6"/>
    <w:rsid w:val="00850157"/>
    <w:rsid w:val="008B5116"/>
    <w:rsid w:val="00952B3B"/>
    <w:rsid w:val="00962CF1"/>
    <w:rsid w:val="0099751E"/>
    <w:rsid w:val="00A163B2"/>
    <w:rsid w:val="00A3216A"/>
    <w:rsid w:val="00A5664F"/>
    <w:rsid w:val="00A61B08"/>
    <w:rsid w:val="00A6316E"/>
    <w:rsid w:val="00A640C0"/>
    <w:rsid w:val="00A9721D"/>
    <w:rsid w:val="00AA7076"/>
    <w:rsid w:val="00AC6F86"/>
    <w:rsid w:val="00AD3737"/>
    <w:rsid w:val="00BB2BE4"/>
    <w:rsid w:val="00BC08F4"/>
    <w:rsid w:val="00BC432B"/>
    <w:rsid w:val="00BE71A6"/>
    <w:rsid w:val="00BF5CBF"/>
    <w:rsid w:val="00C220C6"/>
    <w:rsid w:val="00C53C2E"/>
    <w:rsid w:val="00C67113"/>
    <w:rsid w:val="00C968F7"/>
    <w:rsid w:val="00CA6425"/>
    <w:rsid w:val="00CC4B49"/>
    <w:rsid w:val="00CE1F9B"/>
    <w:rsid w:val="00D067CF"/>
    <w:rsid w:val="00D8322B"/>
    <w:rsid w:val="00D846A4"/>
    <w:rsid w:val="00D84877"/>
    <w:rsid w:val="00D92D05"/>
    <w:rsid w:val="00DD15E1"/>
    <w:rsid w:val="00DE3434"/>
    <w:rsid w:val="00DE7229"/>
    <w:rsid w:val="00E22D2A"/>
    <w:rsid w:val="00E70749"/>
    <w:rsid w:val="00E863A1"/>
    <w:rsid w:val="00E912DC"/>
    <w:rsid w:val="00ED21C9"/>
    <w:rsid w:val="00EE14CA"/>
    <w:rsid w:val="00F30843"/>
    <w:rsid w:val="00F33CD2"/>
    <w:rsid w:val="00F61157"/>
    <w:rsid w:val="00FA1641"/>
    <w:rsid w:val="00FB1B5E"/>
    <w:rsid w:val="00FE172C"/>
    <w:rsid w:val="00FE72D6"/>
    <w:rsid w:val="013B4445"/>
    <w:rsid w:val="018C1916"/>
    <w:rsid w:val="0314AE73"/>
    <w:rsid w:val="031B61E7"/>
    <w:rsid w:val="04FC088E"/>
    <w:rsid w:val="052B589C"/>
    <w:rsid w:val="053D2093"/>
    <w:rsid w:val="062067FE"/>
    <w:rsid w:val="066E23A7"/>
    <w:rsid w:val="06835628"/>
    <w:rsid w:val="06AB089E"/>
    <w:rsid w:val="07BA6D83"/>
    <w:rsid w:val="07E33ABA"/>
    <w:rsid w:val="08F05A13"/>
    <w:rsid w:val="09033ED8"/>
    <w:rsid w:val="091B52F7"/>
    <w:rsid w:val="09554D92"/>
    <w:rsid w:val="09791E74"/>
    <w:rsid w:val="098F1CD1"/>
    <w:rsid w:val="0A3671C9"/>
    <w:rsid w:val="0BAC05B3"/>
    <w:rsid w:val="0BEF7007"/>
    <w:rsid w:val="0C390FAC"/>
    <w:rsid w:val="0CAB21EE"/>
    <w:rsid w:val="0CBA28DF"/>
    <w:rsid w:val="0E7F768D"/>
    <w:rsid w:val="0EB033A3"/>
    <w:rsid w:val="0F0659CC"/>
    <w:rsid w:val="0F3535BB"/>
    <w:rsid w:val="0FBB640B"/>
    <w:rsid w:val="0FDC7F9F"/>
    <w:rsid w:val="10130E26"/>
    <w:rsid w:val="102747AC"/>
    <w:rsid w:val="10F468BD"/>
    <w:rsid w:val="139433C6"/>
    <w:rsid w:val="13DF7FD8"/>
    <w:rsid w:val="14613830"/>
    <w:rsid w:val="14DD024B"/>
    <w:rsid w:val="15794360"/>
    <w:rsid w:val="161812A0"/>
    <w:rsid w:val="17A93780"/>
    <w:rsid w:val="186152BF"/>
    <w:rsid w:val="18845E2F"/>
    <w:rsid w:val="189F7B1F"/>
    <w:rsid w:val="19915122"/>
    <w:rsid w:val="19AA2D7C"/>
    <w:rsid w:val="1A2258F9"/>
    <w:rsid w:val="1B670A25"/>
    <w:rsid w:val="1D6C18C0"/>
    <w:rsid w:val="1DE17414"/>
    <w:rsid w:val="1ED7093D"/>
    <w:rsid w:val="1F4B4494"/>
    <w:rsid w:val="1FBB21C0"/>
    <w:rsid w:val="1FFF2AD5"/>
    <w:rsid w:val="200B5FC6"/>
    <w:rsid w:val="204A5285"/>
    <w:rsid w:val="20844AD5"/>
    <w:rsid w:val="21422BB5"/>
    <w:rsid w:val="219746CE"/>
    <w:rsid w:val="22161C69"/>
    <w:rsid w:val="22350AE4"/>
    <w:rsid w:val="23BA54E1"/>
    <w:rsid w:val="23EC39D7"/>
    <w:rsid w:val="24977834"/>
    <w:rsid w:val="26550282"/>
    <w:rsid w:val="281B2DF5"/>
    <w:rsid w:val="28C86E51"/>
    <w:rsid w:val="28DF46E1"/>
    <w:rsid w:val="294B635F"/>
    <w:rsid w:val="295D20E0"/>
    <w:rsid w:val="29772E93"/>
    <w:rsid w:val="2B4A7694"/>
    <w:rsid w:val="2CA53633"/>
    <w:rsid w:val="2D067F88"/>
    <w:rsid w:val="2D5B7F98"/>
    <w:rsid w:val="2DB40530"/>
    <w:rsid w:val="2DD7781E"/>
    <w:rsid w:val="2E156399"/>
    <w:rsid w:val="2EF31907"/>
    <w:rsid w:val="2FDB5C46"/>
    <w:rsid w:val="33FFFCBA"/>
    <w:rsid w:val="34CF1F34"/>
    <w:rsid w:val="34DD524A"/>
    <w:rsid w:val="35154ED0"/>
    <w:rsid w:val="35831E78"/>
    <w:rsid w:val="367342D8"/>
    <w:rsid w:val="368C170D"/>
    <w:rsid w:val="3753251F"/>
    <w:rsid w:val="38CC7C0A"/>
    <w:rsid w:val="39241B86"/>
    <w:rsid w:val="39382F3B"/>
    <w:rsid w:val="395E29FD"/>
    <w:rsid w:val="39906A3C"/>
    <w:rsid w:val="3B6B3A9C"/>
    <w:rsid w:val="3BDDCCB3"/>
    <w:rsid w:val="3BFCE255"/>
    <w:rsid w:val="3C3629CF"/>
    <w:rsid w:val="3CBF8B15"/>
    <w:rsid w:val="3D0251C0"/>
    <w:rsid w:val="3D032475"/>
    <w:rsid w:val="3DE41FEB"/>
    <w:rsid w:val="3DEAB8DF"/>
    <w:rsid w:val="3E341A7C"/>
    <w:rsid w:val="3E3C5B94"/>
    <w:rsid w:val="3E6760E9"/>
    <w:rsid w:val="3F9C1BC0"/>
    <w:rsid w:val="3FB7C1B8"/>
    <w:rsid w:val="407F76A2"/>
    <w:rsid w:val="4175033C"/>
    <w:rsid w:val="43346FA1"/>
    <w:rsid w:val="436314FD"/>
    <w:rsid w:val="43C90AFF"/>
    <w:rsid w:val="45EC57D9"/>
    <w:rsid w:val="470E0586"/>
    <w:rsid w:val="47305E67"/>
    <w:rsid w:val="47770EF5"/>
    <w:rsid w:val="48AE321A"/>
    <w:rsid w:val="4A1452FF"/>
    <w:rsid w:val="4ADE6DB0"/>
    <w:rsid w:val="4AE165F3"/>
    <w:rsid w:val="4AEB6CEE"/>
    <w:rsid w:val="4C917B7B"/>
    <w:rsid w:val="4D1D28A8"/>
    <w:rsid w:val="4DF7156F"/>
    <w:rsid w:val="4FB90CA0"/>
    <w:rsid w:val="516D10F0"/>
    <w:rsid w:val="51B9766F"/>
    <w:rsid w:val="52880638"/>
    <w:rsid w:val="53B263AB"/>
    <w:rsid w:val="53EA0E7E"/>
    <w:rsid w:val="54BB7CA0"/>
    <w:rsid w:val="54DE09F7"/>
    <w:rsid w:val="55164621"/>
    <w:rsid w:val="567D4907"/>
    <w:rsid w:val="582B5BF5"/>
    <w:rsid w:val="58FA7DB6"/>
    <w:rsid w:val="59FFA9DD"/>
    <w:rsid w:val="5A186745"/>
    <w:rsid w:val="5A76335E"/>
    <w:rsid w:val="5A7E502C"/>
    <w:rsid w:val="5AFB4E85"/>
    <w:rsid w:val="5B1969AC"/>
    <w:rsid w:val="5B473F64"/>
    <w:rsid w:val="5C7A95D3"/>
    <w:rsid w:val="5DA7CEA2"/>
    <w:rsid w:val="5EA90C2A"/>
    <w:rsid w:val="5F33426A"/>
    <w:rsid w:val="5F56F802"/>
    <w:rsid w:val="5F6EF638"/>
    <w:rsid w:val="5F8670DE"/>
    <w:rsid w:val="5FAE3C1E"/>
    <w:rsid w:val="6025462C"/>
    <w:rsid w:val="608061DA"/>
    <w:rsid w:val="61355E2F"/>
    <w:rsid w:val="6184044A"/>
    <w:rsid w:val="63360EF7"/>
    <w:rsid w:val="633D546F"/>
    <w:rsid w:val="63DD2563"/>
    <w:rsid w:val="63F71816"/>
    <w:rsid w:val="648A0240"/>
    <w:rsid w:val="64A75ABD"/>
    <w:rsid w:val="64BD572B"/>
    <w:rsid w:val="64E701A1"/>
    <w:rsid w:val="64E97186"/>
    <w:rsid w:val="66543467"/>
    <w:rsid w:val="6667FBCD"/>
    <w:rsid w:val="67A11CC0"/>
    <w:rsid w:val="696371C7"/>
    <w:rsid w:val="69F11721"/>
    <w:rsid w:val="6BAA2A12"/>
    <w:rsid w:val="6BE88D43"/>
    <w:rsid w:val="6BFB0013"/>
    <w:rsid w:val="6CD258F7"/>
    <w:rsid w:val="6D4A0A51"/>
    <w:rsid w:val="6E5512C0"/>
    <w:rsid w:val="6E7DEFA4"/>
    <w:rsid w:val="6EFFF5B8"/>
    <w:rsid w:val="6F834BB1"/>
    <w:rsid w:val="6F9F372A"/>
    <w:rsid w:val="6FDA7AFC"/>
    <w:rsid w:val="70486CB3"/>
    <w:rsid w:val="70C531BD"/>
    <w:rsid w:val="714A25FE"/>
    <w:rsid w:val="720D56A0"/>
    <w:rsid w:val="72E13957"/>
    <w:rsid w:val="72E7737D"/>
    <w:rsid w:val="73D43914"/>
    <w:rsid w:val="741C383E"/>
    <w:rsid w:val="744E314E"/>
    <w:rsid w:val="762C432F"/>
    <w:rsid w:val="76447C6A"/>
    <w:rsid w:val="773CFBAE"/>
    <w:rsid w:val="77D15AFC"/>
    <w:rsid w:val="77F94EA6"/>
    <w:rsid w:val="77FF7213"/>
    <w:rsid w:val="78B72FC5"/>
    <w:rsid w:val="79334384"/>
    <w:rsid w:val="7A7C6425"/>
    <w:rsid w:val="7A7F4DEE"/>
    <w:rsid w:val="7B955AA9"/>
    <w:rsid w:val="7B975929"/>
    <w:rsid w:val="7BD6BF7F"/>
    <w:rsid w:val="7BDFA59B"/>
    <w:rsid w:val="7CFF2D64"/>
    <w:rsid w:val="7DFE0E69"/>
    <w:rsid w:val="7E713F67"/>
    <w:rsid w:val="7E80763A"/>
    <w:rsid w:val="7EBF6243"/>
    <w:rsid w:val="7EFF387C"/>
    <w:rsid w:val="7F465591"/>
    <w:rsid w:val="7F592015"/>
    <w:rsid w:val="7F5FE0EB"/>
    <w:rsid w:val="7F6B1151"/>
    <w:rsid w:val="7F6FF723"/>
    <w:rsid w:val="7FD7F919"/>
    <w:rsid w:val="7FFB0C37"/>
    <w:rsid w:val="7FFD0648"/>
    <w:rsid w:val="9BF95663"/>
    <w:rsid w:val="A9B7D3B3"/>
    <w:rsid w:val="AFF5F721"/>
    <w:rsid w:val="B6B7197A"/>
    <w:rsid w:val="B7D8C820"/>
    <w:rsid w:val="B8F72CDA"/>
    <w:rsid w:val="BDF66EE2"/>
    <w:rsid w:val="BEF87F2A"/>
    <w:rsid w:val="BF7D3C9D"/>
    <w:rsid w:val="BF7E8B84"/>
    <w:rsid w:val="CBF7D738"/>
    <w:rsid w:val="CDFEB8D4"/>
    <w:rsid w:val="CEFF30AC"/>
    <w:rsid w:val="D3CEC454"/>
    <w:rsid w:val="D5FED0BB"/>
    <w:rsid w:val="D6FEE3CC"/>
    <w:rsid w:val="D78102FF"/>
    <w:rsid w:val="DB7DDF53"/>
    <w:rsid w:val="DCEE903A"/>
    <w:rsid w:val="DDDF4419"/>
    <w:rsid w:val="DEFD4997"/>
    <w:rsid w:val="DF3D94B8"/>
    <w:rsid w:val="DF727345"/>
    <w:rsid w:val="E37BEE43"/>
    <w:rsid w:val="E3FFE0FB"/>
    <w:rsid w:val="E75DB5AE"/>
    <w:rsid w:val="EBBF2981"/>
    <w:rsid w:val="ED73CBA4"/>
    <w:rsid w:val="EDCCC6A5"/>
    <w:rsid w:val="EFFE30B0"/>
    <w:rsid w:val="F5FF7C6B"/>
    <w:rsid w:val="F7ED1024"/>
    <w:rsid w:val="FA7F2F93"/>
    <w:rsid w:val="FB3F63C6"/>
    <w:rsid w:val="FB7FD69D"/>
    <w:rsid w:val="FEFB5A10"/>
    <w:rsid w:val="FF7F909F"/>
    <w:rsid w:val="FF97EDCF"/>
    <w:rsid w:val="FFEFD2FD"/>
    <w:rsid w:val="FFF377CF"/>
    <w:rsid w:val="FFF50B0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iPriority="99"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iPriority="99"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qFormat="1" w:uiPriority="99" w:name="Body Text First Indent"/>
    <w:lsdException w:qFormat="1" w:uiPriority="99"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79" w:lineRule="exact"/>
      <w:ind w:firstLine="200" w:firstLineChars="200"/>
      <w:jc w:val="both"/>
    </w:pPr>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 w:type="paragraph" w:styleId="2">
    <w:name w:val="heading 1"/>
    <w:basedOn w:val="1"/>
    <w:next w:val="1"/>
    <w:qFormat/>
    <w:uiPriority w:val="9"/>
    <w:pPr>
      <w:keepNext/>
      <w:keepLines/>
      <w:spacing w:before="480" w:after="80"/>
      <w:outlineLvl w:val="0"/>
    </w:pPr>
    <w:rPr>
      <w:rFonts w:asciiTheme="majorHAnsi" w:hAnsiTheme="majorHAnsi" w:eastAsiaTheme="majorEastAsia" w:cstheme="majorBidi"/>
      <w:color w:val="2E54A1" w:themeColor="accent1" w:themeShade="BF"/>
      <w:sz w:val="48"/>
      <w:szCs w:val="48"/>
    </w:rPr>
  </w:style>
  <w:style w:type="paragraph" w:styleId="3">
    <w:name w:val="heading 2"/>
    <w:basedOn w:val="1"/>
    <w:next w:val="1"/>
    <w:unhideWhenUsed/>
    <w:qFormat/>
    <w:uiPriority w:val="0"/>
    <w:pPr>
      <w:keepNext/>
      <w:keepLines/>
      <w:spacing w:before="160" w:after="80"/>
      <w:outlineLvl w:val="1"/>
    </w:pPr>
    <w:rPr>
      <w:rFonts w:asciiTheme="majorHAnsi" w:hAnsiTheme="majorHAnsi" w:eastAsiaTheme="majorEastAsia" w:cstheme="majorBidi"/>
      <w:color w:val="2E54A1" w:themeColor="accent1" w:themeShade="BF"/>
      <w:sz w:val="40"/>
      <w:szCs w:val="40"/>
    </w:rPr>
  </w:style>
  <w:style w:type="paragraph" w:styleId="4">
    <w:name w:val="heading 3"/>
    <w:basedOn w:val="1"/>
    <w:next w:val="1"/>
    <w:link w:val="26"/>
    <w:semiHidden/>
    <w:unhideWhenUsed/>
    <w:qFormat/>
    <w:uiPriority w:val="0"/>
    <w:pPr>
      <w:keepNext/>
      <w:keepLines/>
      <w:spacing w:before="50" w:beforeLines="50" w:line="360" w:lineRule="auto"/>
      <w:ind w:firstLine="560"/>
      <w:outlineLvl w:val="2"/>
    </w:pPr>
    <w:rPr>
      <w:rFonts w:ascii="Times New Roman" w:hAnsi="Times New Roman" w:eastAsia="Mona Medium"/>
      <w:bCs/>
      <w:sz w:val="24"/>
      <w:szCs w:val="32"/>
    </w:rPr>
  </w:style>
  <w:style w:type="paragraph" w:styleId="5">
    <w:name w:val="heading 4"/>
    <w:basedOn w:val="1"/>
    <w:next w:val="1"/>
    <w:semiHidden/>
    <w:unhideWhenUsed/>
    <w:qFormat/>
    <w:uiPriority w:val="0"/>
    <w:pPr>
      <w:spacing w:beforeAutospacing="1" w:afterAutospacing="1"/>
      <w:jc w:val="left"/>
      <w:outlineLvl w:val="3"/>
    </w:pPr>
    <w:rPr>
      <w:rFonts w:hint="eastAsia" w:ascii="宋体" w:hAnsi="宋体" w:eastAsia="宋体"/>
      <w:b/>
      <w:bCs/>
      <w:kern w:val="0"/>
      <w:sz w:val="24"/>
    </w:rPr>
  </w:style>
  <w:style w:type="character" w:default="1" w:styleId="21">
    <w:name w:val="Default Paragraph Font"/>
    <w:semiHidden/>
    <w:unhideWhenUsed/>
    <w:qFormat/>
    <w:uiPriority w:val="1"/>
  </w:style>
  <w:style w:type="table" w:default="1" w:styleId="19">
    <w:name w:val="Normal Table"/>
    <w:semiHidden/>
    <w:unhideWhenUsed/>
    <w:uiPriority w:val="99"/>
    <w:tblPr>
      <w:tblCellMar>
        <w:top w:w="0" w:type="dxa"/>
        <w:left w:w="108" w:type="dxa"/>
        <w:bottom w:w="0" w:type="dxa"/>
        <w:right w:w="108" w:type="dxa"/>
      </w:tblCellMar>
    </w:tblPr>
  </w:style>
  <w:style w:type="paragraph" w:styleId="6">
    <w:name w:val="Normal Indent"/>
    <w:basedOn w:val="1"/>
    <w:qFormat/>
    <w:uiPriority w:val="0"/>
    <w:pPr>
      <w:adjustRightInd w:val="0"/>
      <w:spacing w:line="360" w:lineRule="auto"/>
      <w:ind w:firstLine="420"/>
    </w:pPr>
    <w:rPr>
      <w:sz w:val="24"/>
    </w:rPr>
  </w:style>
  <w:style w:type="paragraph" w:styleId="7">
    <w:name w:val="annotation text"/>
    <w:basedOn w:val="1"/>
    <w:link w:val="30"/>
    <w:unhideWhenUsed/>
    <w:qFormat/>
    <w:uiPriority w:val="99"/>
    <w:pPr>
      <w:jc w:val="left"/>
    </w:pPr>
  </w:style>
  <w:style w:type="paragraph" w:styleId="8">
    <w:name w:val="Body Text"/>
    <w:basedOn w:val="1"/>
    <w:next w:val="1"/>
    <w:unhideWhenUsed/>
    <w:qFormat/>
    <w:uiPriority w:val="99"/>
    <w:pPr>
      <w:spacing w:after="120"/>
    </w:pPr>
  </w:style>
  <w:style w:type="paragraph" w:styleId="9">
    <w:name w:val="Body Text Indent"/>
    <w:basedOn w:val="1"/>
    <w:unhideWhenUsed/>
    <w:qFormat/>
    <w:uiPriority w:val="99"/>
    <w:pPr>
      <w:spacing w:after="120"/>
      <w:ind w:left="420" w:leftChars="200"/>
    </w:pPr>
    <w:rPr>
      <w:rFonts w:asciiTheme="minorHAnsi" w:hAnsiTheme="minorHAnsi" w:eastAsiaTheme="minorEastAsia" w:cstheme="minorBidi"/>
    </w:rPr>
  </w:style>
  <w:style w:type="paragraph" w:styleId="10">
    <w:name w:val="Plain Text"/>
    <w:basedOn w:val="1"/>
    <w:qFormat/>
    <w:uiPriority w:val="0"/>
    <w:pPr>
      <w:adjustRightInd w:val="0"/>
      <w:snapToGrid w:val="0"/>
      <w:spacing w:line="360" w:lineRule="auto"/>
    </w:pPr>
    <w:rPr>
      <w:rFonts w:ascii="宋体" w:hAnsi="Courier New" w:eastAsiaTheme="minorEastAsia" w:cstheme="minorBidi"/>
      <w:szCs w:val="22"/>
    </w:rPr>
  </w:style>
  <w:style w:type="paragraph" w:styleId="11">
    <w:name w:val="Date"/>
    <w:basedOn w:val="1"/>
    <w:next w:val="1"/>
    <w:qFormat/>
    <w:uiPriority w:val="99"/>
    <w:pPr>
      <w:ind w:left="100" w:leftChars="2500"/>
    </w:pPr>
    <w:rPr>
      <w:rFonts w:asciiTheme="minorHAnsi" w:hAnsiTheme="minorHAnsi" w:eastAsiaTheme="minorEastAsia" w:cstheme="minorBidi"/>
    </w:rPr>
  </w:style>
  <w:style w:type="paragraph" w:styleId="12">
    <w:name w:val="footer"/>
    <w:basedOn w:val="1"/>
    <w:unhideWhenUsed/>
    <w:qFormat/>
    <w:uiPriority w:val="99"/>
    <w:pPr>
      <w:tabs>
        <w:tab w:val="center" w:pos="4153"/>
        <w:tab w:val="right" w:pos="8306"/>
      </w:tabs>
      <w:snapToGrid w:val="0"/>
      <w:jc w:val="left"/>
    </w:pPr>
    <w:rPr>
      <w:sz w:val="18"/>
      <w:szCs w:val="18"/>
    </w:rPr>
  </w:style>
  <w:style w:type="paragraph" w:styleId="13">
    <w:name w:val="header"/>
    <w:basedOn w:val="1"/>
    <w:semiHidden/>
    <w:unhideWhenUsed/>
    <w:qFormat/>
    <w:uiPriority w:val="99"/>
    <w:pPr>
      <w:pBdr>
        <w:bottom w:val="single" w:color="auto" w:sz="6" w:space="1"/>
      </w:pBdr>
      <w:tabs>
        <w:tab w:val="center" w:pos="4153"/>
        <w:tab w:val="right" w:pos="8306"/>
      </w:tabs>
      <w:snapToGrid w:val="0"/>
      <w:jc w:val="center"/>
    </w:pPr>
    <w:rPr>
      <w:sz w:val="18"/>
      <w:szCs w:val="18"/>
    </w:rPr>
  </w:style>
  <w:style w:type="paragraph" w:styleId="14">
    <w:name w:val="toc 1"/>
    <w:basedOn w:val="1"/>
    <w:next w:val="1"/>
    <w:qFormat/>
    <w:uiPriority w:val="39"/>
    <w:pPr>
      <w:spacing w:line="360" w:lineRule="auto"/>
      <w:ind w:firstLine="880"/>
    </w:pPr>
    <w:rPr>
      <w:rFonts w:ascii="Times New Roman" w:hAnsi="Times New Roman" w:eastAsia="宋体"/>
      <w:sz w:val="24"/>
    </w:rPr>
  </w:style>
  <w:style w:type="paragraph" w:styleId="15">
    <w:name w:val="Normal (Web)"/>
    <w:basedOn w:val="1"/>
    <w:qFormat/>
    <w:uiPriority w:val="0"/>
    <w:pPr>
      <w:widowControl/>
      <w:spacing w:before="100" w:beforeAutospacing="1" w:after="100" w:afterAutospacing="1"/>
      <w:jc w:val="left"/>
    </w:pPr>
    <w:rPr>
      <w:rFonts w:ascii="宋体" w:hAnsi="宋体" w:cs="宋体"/>
      <w:kern w:val="0"/>
      <w:sz w:val="24"/>
    </w:rPr>
  </w:style>
  <w:style w:type="paragraph" w:styleId="16">
    <w:name w:val="annotation subject"/>
    <w:basedOn w:val="7"/>
    <w:next w:val="7"/>
    <w:link w:val="31"/>
    <w:qFormat/>
    <w:uiPriority w:val="0"/>
    <w:rPr>
      <w:b/>
      <w:bCs/>
    </w:rPr>
  </w:style>
  <w:style w:type="paragraph" w:styleId="17">
    <w:name w:val="Body Text First Indent"/>
    <w:basedOn w:val="8"/>
    <w:semiHidden/>
    <w:unhideWhenUsed/>
    <w:qFormat/>
    <w:uiPriority w:val="99"/>
    <w:pPr>
      <w:ind w:firstLine="420" w:firstLineChars="100"/>
    </w:pPr>
  </w:style>
  <w:style w:type="paragraph" w:styleId="18">
    <w:name w:val="Body Text First Indent 2"/>
    <w:basedOn w:val="9"/>
    <w:unhideWhenUsed/>
    <w:qFormat/>
    <w:uiPriority w:val="99"/>
    <w:pPr>
      <w:spacing w:line="240" w:lineRule="auto"/>
      <w:ind w:firstLine="420"/>
    </w:pPr>
    <w:rPr>
      <w:rFonts w:ascii="Times New Roman" w:hAnsi="Times New Roman" w:eastAsia="宋体"/>
      <w:sz w:val="21"/>
    </w:rPr>
  </w:style>
  <w:style w:type="table" w:styleId="20">
    <w:name w:val="Table Grid"/>
    <w:basedOn w:val="1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styleId="23">
    <w:name w:val="Hyperlink"/>
    <w:basedOn w:val="21"/>
    <w:unhideWhenUsed/>
    <w:qFormat/>
    <w:uiPriority w:val="99"/>
    <w:rPr>
      <w:color w:val="0000FF"/>
      <w:u w:val="single"/>
    </w:rPr>
  </w:style>
  <w:style w:type="character" w:styleId="24">
    <w:name w:val="annotation reference"/>
    <w:basedOn w:val="21"/>
    <w:qFormat/>
    <w:uiPriority w:val="0"/>
    <w:rPr>
      <w:sz w:val="21"/>
      <w:szCs w:val="21"/>
    </w:rPr>
  </w:style>
  <w:style w:type="paragraph" w:customStyle="1" w:styleId="25">
    <w:name w:val="标书正文1"/>
    <w:basedOn w:val="1"/>
    <w:qFormat/>
    <w:uiPriority w:val="0"/>
    <w:pPr>
      <w:spacing w:line="520" w:lineRule="exact"/>
      <w:ind w:firstLine="640"/>
    </w:pPr>
    <w:rPr>
      <w:rFonts w:ascii="Times New Roman" w:hAnsi="Times New Roman" w:eastAsia="宋体"/>
    </w:rPr>
  </w:style>
  <w:style w:type="character" w:customStyle="1" w:styleId="26">
    <w:name w:val="标题 3 字符"/>
    <w:link w:val="4"/>
    <w:semiHidden/>
    <w:qFormat/>
    <w:uiPriority w:val="9"/>
    <w:rPr>
      <w:rFonts w:ascii="Times New Roman" w:hAnsi="Times New Roman" w:eastAsia="Mona Medium" w:cs="Times New Roman"/>
      <w:bCs/>
      <w:kern w:val="2"/>
      <w:sz w:val="24"/>
      <w:szCs w:val="32"/>
    </w:rPr>
  </w:style>
  <w:style w:type="paragraph" w:customStyle="1" w:styleId="27">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28">
    <w:name w:val="列出段落1"/>
    <w:basedOn w:val="1"/>
    <w:qFormat/>
    <w:uiPriority w:val="34"/>
    <w:pPr>
      <w:spacing w:line="276" w:lineRule="auto"/>
      <w:ind w:firstLine="420"/>
    </w:pPr>
    <w:rPr>
      <w:rFonts w:ascii="Times New Roman" w:hAnsi="Times New Roman" w:eastAsia="宋体"/>
      <w:color w:val="auto"/>
      <w:sz w:val="21"/>
    </w:rPr>
  </w:style>
  <w:style w:type="paragraph" w:customStyle="1" w:styleId="29">
    <w:name w:val="表格内字体"/>
    <w:basedOn w:val="1"/>
    <w:autoRedefine/>
    <w:qFormat/>
    <w:uiPriority w:val="0"/>
    <w:pPr>
      <w:spacing w:line="240" w:lineRule="auto"/>
      <w:ind w:firstLine="0" w:firstLineChars="0"/>
      <w:jc w:val="center"/>
    </w:pPr>
    <w:rPr>
      <w:rFonts w:hint="eastAsia"/>
      <w:sz w:val="21"/>
    </w:rPr>
  </w:style>
  <w:style w:type="character" w:customStyle="1" w:styleId="30">
    <w:name w:val="批注文字 字符"/>
    <w:basedOn w:val="21"/>
    <w:link w:val="7"/>
    <w:qFormat/>
    <w:uiPriority w:val="99"/>
    <w:rPr>
      <w:rFonts w:ascii="Calibri" w:hAnsi="Calibri" w:eastAsia="方正仿宋_GBK"/>
      <w:color w:val="000000" w:themeColor="text1"/>
      <w:kern w:val="2"/>
      <w:sz w:val="28"/>
      <w:szCs w:val="24"/>
      <w14:textFill>
        <w14:solidFill>
          <w14:schemeClr w14:val="tx1"/>
        </w14:solidFill>
      </w14:textFill>
    </w:rPr>
  </w:style>
  <w:style w:type="character" w:customStyle="1" w:styleId="31">
    <w:name w:val="批注主题 字符"/>
    <w:basedOn w:val="30"/>
    <w:link w:val="16"/>
    <w:qFormat/>
    <w:uiPriority w:val="0"/>
    <w:rPr>
      <w:rFonts w:ascii="Calibri" w:hAnsi="Calibri" w:eastAsia="方正仿宋_GBK"/>
      <w:b/>
      <w:bCs/>
      <w:color w:val="000000" w:themeColor="text1"/>
      <w:kern w:val="2"/>
      <w:sz w:val="28"/>
      <w:szCs w:val="24"/>
      <w14:textFill>
        <w14:solidFill>
          <w14:schemeClr w14:val="tx1"/>
        </w14:solidFill>
      </w14:textFill>
    </w:rPr>
  </w:style>
  <w:style w:type="paragraph" w:styleId="32">
    <w:name w:val="List Paragraph"/>
    <w:basedOn w:val="1"/>
    <w:qFormat/>
    <w:uiPriority w:val="99"/>
    <w:pPr>
      <w:ind w:firstLine="420"/>
    </w:pPr>
  </w:style>
  <w:style w:type="paragraph" w:customStyle="1" w:styleId="33">
    <w:name w:val="修订1"/>
    <w:hidden/>
    <w:unhideWhenUsed/>
    <w:qFormat/>
    <w:uiPriority w:val="99"/>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 w:type="paragraph" w:customStyle="1" w:styleId="34">
    <w:name w:val="图例"/>
    <w:basedOn w:val="1"/>
    <w:qFormat/>
    <w:uiPriority w:val="0"/>
    <w:pPr>
      <w:spacing w:before="120" w:after="120" w:line="360" w:lineRule="auto"/>
      <w:ind w:firstLine="0" w:firstLineChars="0"/>
      <w:jc w:val="center"/>
    </w:pPr>
    <w:rPr>
      <w:rFonts w:ascii="Times New Roman" w:hAnsi="Times New Roman" w:eastAsia="仿宋_GB2312"/>
      <w:b/>
      <w:color w:val="auto"/>
      <w:sz w:val="24"/>
      <w:szCs w:val="20"/>
    </w:rPr>
  </w:style>
  <w:style w:type="paragraph" w:customStyle="1" w:styleId="35">
    <w:name w:val="修订2"/>
    <w:hidden/>
    <w:semiHidden/>
    <w:qFormat/>
    <w:uiPriority w:val="99"/>
    <w:rPr>
      <w:rFonts w:ascii="Calibri" w:hAnsi="Calibri" w:eastAsia="方正仿宋_GBK" w:cs="Times New Roman"/>
      <w:color w:val="000000" w:themeColor="text1"/>
      <w:kern w:val="2"/>
      <w:sz w:val="28"/>
      <w:szCs w:val="24"/>
      <w:lang w:val="en-US" w:eastAsia="zh-CN" w:bidi="ar-SA"/>
      <w14:textFill>
        <w14:solidFill>
          <w14:schemeClr w14:val="tx1"/>
        </w14:solidFill>
      </w14:textFill>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customXml" Target="../customXml/item1.xml"/><Relationship Id="rId14" Type="http://schemas.openxmlformats.org/officeDocument/2006/relationships/numbering" Target="numbering.xml"/><Relationship Id="rId13" Type="http://schemas.openxmlformats.org/officeDocument/2006/relationships/theme" Target="theme/theme1.xml"/><Relationship Id="rId12" Type="http://schemas.openxmlformats.org/officeDocument/2006/relationships/footer" Target="footer4.xml"/><Relationship Id="rId11" Type="http://schemas.openxmlformats.org/officeDocument/2006/relationships/header" Target="head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7" Type="http://schemas.openxmlformats.org/officeDocument/2006/relationships/font" Target="fonts/font17.odttf"/><Relationship Id="rId16" Type="http://schemas.openxmlformats.org/officeDocument/2006/relationships/font" Target="fonts/font16.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ontractReview xmlns="http://schemas.wps.cn/vas-ai-hub/contract-review">
  <reviewItems>
    <reviewItem>
      <errorID>e2269865-879b-4ebb-ac69-640c8c42e454</errorID>
      <errorWord>应</errorWord>
      <group>L1_Word</group>
      <groupName>字词问题</groupName>
      <ability>L2_Typo</ability>
      <abilityName>字词错误</abilityName>
      <candidateList>
        <item>应在</item>
      </candidateList>
      <explain/>
      <paraID>588EFA90</paraID>
      <start>55</start>
      <end>57</end>
      <status>modified</status>
      <modifiedWord>应在</modifiedWord>
      <trackRevisions>false</trackRevisions>
    </reviewItem>
    <reviewItem>
      <errorID>16c819c9-3379-4678-98a9-346a7eb67138</errorID>
      <errorWord>作</errorWord>
      <group>L1_Word</group>
      <groupName>字词问题</groupName>
      <ability>L2_Typo</ability>
      <abilityName>字词错误</abilityName>
      <candidateList>
        <item>做</item>
      </candidateList>
      <explain>存在发音相同字词的误用。</explain>
      <paraID> 278D3F0</paraID>
      <start>6</start>
      <end>7</end>
      <status>unmodified</status>
      <modifiedWord/>
      <trackRevisions>false</trackRevisions>
    </reviewItem>
    <reviewItem>
      <errorID>72326e79-b8bd-412f-9cbf-20d823067c65</errorID>
      <errorWord>”</errorWord>
      <group>L1_Punc</group>
      <groupName>标点问题</groupName>
      <ability>L2_Punc_CN</ability>
      <abilityName/>
      <candidateList/>
      <explain>此处标点可能未正确匹配，请检查句子中是否存在标点冗余、缺失或使用错误的情况。</explain>
      <paraID> B07C598</paraID>
      <start>49</start>
      <end>50</end>
      <status>unmodified</status>
      <modifiedWord/>
      <trackRevisions>false</trackRevisions>
    </reviewItem>
  </reviewItems>
  <config/>
</contractReview>
</file>

<file path=customXml/itemProps1.xml><?xml version="1.0" encoding="utf-8"?>
<ds:datastoreItem xmlns:ds="http://schemas.openxmlformats.org/officeDocument/2006/customXml" ds:itemID="{956F4870-1C89-4B88-9D1E-E66792FEEABA}">
  <ds:schemaRefs/>
</ds:datastoreItem>
</file>

<file path=customXml/itemProps2.xml><?xml version="1.0" encoding="utf-8"?>
<ds:datastoreItem xmlns:ds="http://schemas.openxmlformats.org/officeDocument/2006/customXml" ds:itemID="{203405e9-f02e-4d4d-a6f6-36619df3ca20}">
  <ds:schemaRefs/>
</ds:datastoreItem>
</file>

<file path=docProps/app.xml><?xml version="1.0" encoding="utf-8"?>
<Properties xmlns="http://schemas.openxmlformats.org/officeDocument/2006/extended-properties" xmlns:vt="http://schemas.openxmlformats.org/officeDocument/2006/docPropsVTypes">
  <Template>Normal</Template>
  <Pages>48</Pages>
  <Words>6964</Words>
  <Characters>7266</Characters>
  <Lines>140</Lines>
  <Paragraphs>39</Paragraphs>
  <TotalTime>0</TotalTime>
  <ScaleCrop>false</ScaleCrop>
  <LinksUpToDate>false</LinksUpToDate>
  <CharactersWithSpaces>7305</CharactersWithSpaces>
  <Application>WPS Office_12.1.0.26375_F1E327BC-269C-435d-A152-05C5408002CA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2026-05-20T09:17:00Z</dcterms:created>
  <dc:creator>十三</dc:creator>
  <cp:lastModifiedBy>吴亚利</cp:lastModifiedBy>
  <cp:lastPrinted>2026-02-24T16:56:00Z</cp:lastPrinted>
  <dcterms:modified xsi:type="dcterms:W3CDTF">2026-05-21T02:12:08Z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2052-12.1.0.26375</vt:lpwstr>
  </property>
  <property fmtid="{D5CDD505-2E9C-101B-9397-08002B2CF9AE}" pid="3" name="ICV">
    <vt:lpwstr>BEA3EB19D1FE40B9BF1C0E9E688F7FA3_13</vt:lpwstr>
  </property>
  <property fmtid="{D5CDD505-2E9C-101B-9397-08002B2CF9AE}" pid="4" name="KSOTemplateDocerSaveRecord">
    <vt:lpwstr>eyJoZGlkIjoiMjNlOTk1ZTllZGY2ZjZjYzAwNzI4NDg0N2Q0OGVmNmIiLCJ1c2VySWQiOiI0NDg5ODExNzgifQ==</vt:lpwstr>
  </property>
</Properties>
</file>