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B3908">
      <w:pPr>
        <w:pStyle w:val="10"/>
        <w:spacing w:after="0" w:line="480" w:lineRule="auto"/>
        <w:ind w:left="0" w:leftChars="0" w:firstLine="0" w:firstLineChars="0"/>
        <w:rPr>
          <w:rFonts w:ascii="Times New Roman" w:hAnsi="Times New Roman" w:eastAsia="仿宋" w:cs="Times New Roman"/>
          <w:color w:val="auto"/>
          <w:sz w:val="44"/>
          <w:szCs w:val="44"/>
          <w:highlight w:val="none"/>
        </w:rPr>
      </w:pPr>
    </w:p>
    <w:p w14:paraId="33B2A6F5">
      <w:pPr>
        <w:pStyle w:val="10"/>
        <w:spacing w:after="0" w:line="360" w:lineRule="auto"/>
        <w:ind w:left="0" w:leftChars="0" w:firstLine="0" w:firstLineChars="0"/>
        <w:jc w:val="center"/>
        <w:rPr>
          <w:rFonts w:ascii="Times New Roman" w:hAnsi="Times New Roman" w:eastAsia="方正小标宋_GBK" w:cs="Times New Roman"/>
          <w:color w:val="auto"/>
          <w:sz w:val="96"/>
          <w:szCs w:val="96"/>
          <w:highlight w:val="none"/>
        </w:rPr>
      </w:pPr>
      <w:r>
        <w:rPr>
          <w:rFonts w:ascii="Times New Roman" w:hAnsi="Times New Roman" w:eastAsia="方正小标宋_GBK" w:cs="Times New Roman"/>
          <w:color w:val="auto"/>
          <w:sz w:val="96"/>
          <w:szCs w:val="96"/>
          <w:highlight w:val="none"/>
        </w:rPr>
        <w:t>竞争性比选文件</w:t>
      </w:r>
    </w:p>
    <w:p w14:paraId="1D18D380">
      <w:pPr>
        <w:pStyle w:val="10"/>
        <w:spacing w:after="0" w:line="360" w:lineRule="auto"/>
        <w:ind w:left="0" w:leftChars="0" w:firstLine="0" w:firstLineChars="0"/>
        <w:jc w:val="center"/>
        <w:rPr>
          <w:rFonts w:ascii="Times New Roman" w:hAnsi="Times New Roman" w:eastAsia="方正小标宋_GBK" w:cs="Times New Roman"/>
          <w:color w:val="auto"/>
          <w:sz w:val="72"/>
          <w:szCs w:val="72"/>
          <w:highlight w:val="none"/>
        </w:rPr>
      </w:pPr>
    </w:p>
    <w:p w14:paraId="4B9443E3">
      <w:pPr>
        <w:pStyle w:val="10"/>
        <w:spacing w:after="0" w:line="500" w:lineRule="exact"/>
        <w:ind w:left="0" w:leftChars="0" w:firstLine="560"/>
        <w:jc w:val="center"/>
        <w:rPr>
          <w:rFonts w:ascii="Times New Roman" w:hAnsi="Times New Roman" w:eastAsia="仿宋" w:cs="Times New Roman"/>
          <w:color w:val="auto"/>
          <w:szCs w:val="28"/>
          <w:highlight w:val="none"/>
        </w:rPr>
      </w:pPr>
    </w:p>
    <w:p w14:paraId="11FD28DE">
      <w:pPr>
        <w:pStyle w:val="10"/>
        <w:spacing w:after="0" w:line="600" w:lineRule="exact"/>
        <w:ind w:left="0" w:leftChars="0" w:firstLine="0" w:firstLineChars="0"/>
        <w:rPr>
          <w:rFonts w:ascii="Times New Roman" w:hAnsi="Times New Roman" w:eastAsia="仿宋" w:cs="Times New Roman"/>
          <w:color w:val="auto"/>
          <w:sz w:val="21"/>
          <w:szCs w:val="21"/>
          <w:highlight w:val="none"/>
        </w:rPr>
      </w:pPr>
    </w:p>
    <w:p w14:paraId="3815987A">
      <w:pPr>
        <w:pStyle w:val="10"/>
        <w:spacing w:after="0" w:line="600" w:lineRule="exact"/>
        <w:ind w:left="0" w:leftChars="0" w:firstLine="0" w:firstLineChars="0"/>
        <w:jc w:val="center"/>
        <w:rPr>
          <w:rFonts w:ascii="Times New Roman" w:hAnsi="Times New Roman" w:eastAsia="方正小标宋_GBK" w:cs="Times New Roman"/>
          <w:color w:val="auto"/>
          <w:sz w:val="36"/>
          <w:szCs w:val="36"/>
          <w:highlight w:val="none"/>
        </w:rPr>
      </w:pPr>
      <w:r>
        <w:rPr>
          <w:rFonts w:ascii="Times New Roman" w:hAnsi="Times New Roman" w:eastAsia="方正小标宋_GBK" w:cs="Times New Roman"/>
          <w:color w:val="auto"/>
          <w:sz w:val="36"/>
          <w:szCs w:val="36"/>
          <w:highlight w:val="none"/>
        </w:rPr>
        <w:t>项目名称：</w:t>
      </w:r>
      <w:r>
        <w:rPr>
          <w:rFonts w:hint="eastAsia" w:ascii="Times New Roman" w:hAnsi="Times New Roman" w:eastAsia="方正小标宋_GBK" w:cs="Times New Roman"/>
          <w:color w:val="auto"/>
          <w:sz w:val="36"/>
          <w:szCs w:val="36"/>
          <w:highlight w:val="none"/>
        </w:rPr>
        <w:t>2026年华龙网信息安全服务</w:t>
      </w:r>
    </w:p>
    <w:p w14:paraId="2F875344">
      <w:pPr>
        <w:pStyle w:val="10"/>
        <w:spacing w:after="0" w:line="500" w:lineRule="exact"/>
        <w:ind w:left="560" w:firstLine="560"/>
        <w:jc w:val="center"/>
        <w:rPr>
          <w:rFonts w:ascii="Times New Roman" w:hAnsi="Times New Roman" w:eastAsia="仿宋" w:cs="Times New Roman"/>
          <w:color w:val="auto"/>
          <w:szCs w:val="28"/>
          <w:highlight w:val="none"/>
        </w:rPr>
      </w:pPr>
    </w:p>
    <w:p w14:paraId="75923476">
      <w:pPr>
        <w:pStyle w:val="10"/>
        <w:spacing w:after="0" w:line="500" w:lineRule="exact"/>
        <w:ind w:left="560" w:firstLine="560"/>
        <w:jc w:val="center"/>
        <w:rPr>
          <w:rFonts w:ascii="Times New Roman" w:hAnsi="Times New Roman" w:eastAsia="仿宋" w:cs="Times New Roman"/>
          <w:color w:val="auto"/>
          <w:szCs w:val="28"/>
          <w:highlight w:val="none"/>
        </w:rPr>
      </w:pPr>
    </w:p>
    <w:p w14:paraId="04F38E21">
      <w:pPr>
        <w:pStyle w:val="10"/>
        <w:spacing w:after="0" w:line="500" w:lineRule="exact"/>
        <w:ind w:left="560" w:firstLine="560"/>
        <w:jc w:val="center"/>
        <w:rPr>
          <w:rFonts w:ascii="Times New Roman" w:hAnsi="Times New Roman" w:eastAsia="仿宋" w:cs="Times New Roman"/>
          <w:color w:val="auto"/>
          <w:szCs w:val="28"/>
          <w:highlight w:val="none"/>
        </w:rPr>
      </w:pPr>
    </w:p>
    <w:p w14:paraId="0EA033D3">
      <w:pPr>
        <w:pStyle w:val="10"/>
        <w:spacing w:after="0" w:line="500" w:lineRule="exact"/>
        <w:ind w:left="560" w:firstLine="560"/>
        <w:jc w:val="center"/>
        <w:rPr>
          <w:rFonts w:ascii="Times New Roman" w:hAnsi="Times New Roman" w:eastAsia="仿宋" w:cs="Times New Roman"/>
          <w:color w:val="auto"/>
          <w:szCs w:val="28"/>
          <w:highlight w:val="none"/>
        </w:rPr>
      </w:pPr>
    </w:p>
    <w:p w14:paraId="32F0E318">
      <w:pPr>
        <w:pStyle w:val="10"/>
        <w:spacing w:after="0" w:line="500" w:lineRule="exact"/>
        <w:ind w:left="0" w:leftChars="0" w:firstLine="0" w:firstLineChars="0"/>
        <w:jc w:val="center"/>
        <w:rPr>
          <w:rFonts w:ascii="Times New Roman" w:hAnsi="Times New Roman" w:eastAsia="仿宋" w:cs="Times New Roman"/>
          <w:color w:val="auto"/>
          <w:szCs w:val="28"/>
          <w:highlight w:val="none"/>
        </w:rPr>
      </w:pPr>
    </w:p>
    <w:p w14:paraId="5E44E775">
      <w:pPr>
        <w:pStyle w:val="10"/>
        <w:spacing w:after="0" w:line="500" w:lineRule="exact"/>
        <w:ind w:left="560" w:firstLine="560"/>
        <w:jc w:val="center"/>
        <w:rPr>
          <w:rFonts w:ascii="Times New Roman" w:hAnsi="Times New Roman" w:eastAsia="仿宋" w:cs="Times New Roman"/>
          <w:color w:val="auto"/>
          <w:szCs w:val="28"/>
          <w:highlight w:val="none"/>
        </w:rPr>
      </w:pPr>
    </w:p>
    <w:p w14:paraId="1470683F">
      <w:pPr>
        <w:pStyle w:val="10"/>
        <w:spacing w:after="0" w:line="600" w:lineRule="exact"/>
        <w:ind w:left="560" w:firstLine="0" w:firstLineChars="0"/>
        <w:jc w:val="center"/>
        <w:rPr>
          <w:rFonts w:ascii="Times New Roman" w:hAnsi="Times New Roman" w:eastAsia="方正小标宋_GBK" w:cs="Times New Roman"/>
          <w:color w:val="auto"/>
          <w:sz w:val="36"/>
          <w:szCs w:val="36"/>
          <w:highlight w:val="none"/>
        </w:rPr>
      </w:pPr>
      <w:r>
        <w:rPr>
          <w:rFonts w:hint="eastAsia" w:ascii="Times New Roman" w:hAnsi="Times New Roman" w:eastAsia="方正小标宋_GBK" w:cs="Times New Roman"/>
          <w:color w:val="auto"/>
          <w:sz w:val="36"/>
          <w:szCs w:val="36"/>
          <w:highlight w:val="none"/>
        </w:rPr>
        <w:t>采购人：重庆华龙网集团股份有限公司</w:t>
      </w:r>
    </w:p>
    <w:p w14:paraId="375BEC37">
      <w:pPr>
        <w:pStyle w:val="10"/>
        <w:spacing w:after="0" w:line="600" w:lineRule="exact"/>
        <w:ind w:left="560" w:firstLine="0" w:firstLineChars="0"/>
        <w:jc w:val="center"/>
        <w:rPr>
          <w:rFonts w:ascii="Times New Roman" w:hAnsi="Times New Roman" w:eastAsia="方正小标宋_GBK" w:cs="Times New Roman"/>
          <w:color w:val="auto"/>
          <w:sz w:val="36"/>
          <w:szCs w:val="36"/>
          <w:highlight w:val="none"/>
        </w:rPr>
      </w:pPr>
      <w:r>
        <w:rPr>
          <w:rFonts w:hint="eastAsia" w:ascii="Times New Roman" w:hAnsi="Times New Roman" w:eastAsia="方正小标宋_GBK" w:cs="Times New Roman"/>
          <w:color w:val="auto"/>
          <w:sz w:val="36"/>
          <w:szCs w:val="36"/>
          <w:highlight w:val="none"/>
        </w:rPr>
        <w:t>二〇二六年九月</w:t>
      </w:r>
    </w:p>
    <w:p w14:paraId="5C81BDB7">
      <w:pPr>
        <w:pStyle w:val="10"/>
        <w:spacing w:after="0" w:line="500" w:lineRule="exact"/>
        <w:ind w:left="560" w:firstLine="0" w:firstLineChars="0"/>
        <w:jc w:val="center"/>
        <w:rPr>
          <w:rFonts w:ascii="Times New Roman" w:hAnsi="Times New Roman" w:eastAsia="仿宋" w:cs="Times New Roman"/>
          <w:color w:val="auto"/>
          <w:szCs w:val="28"/>
          <w:highlight w:val="none"/>
        </w:rPr>
      </w:pPr>
    </w:p>
    <w:p w14:paraId="7857F71C">
      <w:pPr>
        <w:pStyle w:val="10"/>
        <w:spacing w:after="0" w:line="600" w:lineRule="exact"/>
        <w:ind w:left="0" w:leftChars="0" w:firstLine="0" w:firstLineChars="0"/>
        <w:rPr>
          <w:rFonts w:ascii="Times New Roman" w:hAnsi="Times New Roman" w:eastAsia="仿宋" w:cs="Times New Roman"/>
          <w:color w:val="auto"/>
          <w:sz w:val="44"/>
          <w:szCs w:val="44"/>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2098" w:right="1531" w:bottom="1985" w:left="1531" w:header="851" w:footer="992" w:gutter="0"/>
          <w:pgNumType w:start="1"/>
          <w:cols w:space="720" w:num="1"/>
          <w:titlePg/>
          <w:docGrid w:linePitch="381" w:charSpace="-5735"/>
        </w:sectPr>
      </w:pPr>
    </w:p>
    <w:p w14:paraId="61AFE102">
      <w:pPr>
        <w:spacing w:line="240" w:lineRule="auto"/>
        <w:ind w:firstLine="0" w:firstLineChars="0"/>
        <w:jc w:val="center"/>
        <w:rPr>
          <w:rFonts w:ascii="Times New Roman" w:hAnsi="Times New Roman" w:eastAsia="宋体"/>
          <w:b/>
          <w:bCs/>
          <w:color w:val="auto"/>
          <w:sz w:val="36"/>
          <w:szCs w:val="44"/>
          <w:highlight w:val="none"/>
        </w:rPr>
      </w:pPr>
      <w:r>
        <w:rPr>
          <w:rFonts w:ascii="Times New Roman" w:hAnsi="Times New Roman" w:eastAsia="宋体"/>
          <w:b/>
          <w:bCs/>
          <w:color w:val="auto"/>
          <w:sz w:val="36"/>
          <w:szCs w:val="44"/>
          <w:highlight w:val="none"/>
        </w:rPr>
        <w:t>目  录</w:t>
      </w:r>
    </w:p>
    <w:p w14:paraId="33580309">
      <w:pPr>
        <w:pStyle w:val="15"/>
        <w:tabs>
          <w:tab w:val="right" w:leader="dot" w:pos="9060"/>
        </w:tabs>
        <w:spacing w:line="579" w:lineRule="exact"/>
        <w:ind w:firstLine="0" w:firstLineChars="0"/>
        <w:rPr>
          <w:rFonts w:ascii="Calibri" w:hAnsi="Calibri" w:eastAsia="方正仿宋_GBK"/>
          <w:color w:val="auto"/>
          <w:sz w:val="28"/>
          <w:highlight w:val="none"/>
        </w:rPr>
      </w:pPr>
      <w:bookmarkStart w:id="0" w:name="_Toc1606"/>
      <w:bookmarkStart w:id="1" w:name="_Toc16881"/>
      <w:bookmarkStart w:id="2" w:name="_Toc26715"/>
      <w:bookmarkStart w:id="3" w:name="_Toc30681"/>
      <w:bookmarkStart w:id="4" w:name="_Toc105081898"/>
      <w:bookmarkStart w:id="5" w:name="_Toc3317"/>
      <w:r>
        <w:rPr>
          <w:rFonts w:eastAsia="方正仿宋_GBK"/>
          <w:b/>
          <w:bCs/>
          <w:color w:val="auto"/>
          <w:sz w:val="28"/>
          <w:szCs w:val="28"/>
          <w:highlight w:val="none"/>
        </w:rPr>
        <w:fldChar w:fldCharType="begin"/>
      </w:r>
      <w:r>
        <w:rPr>
          <w:rFonts w:eastAsia="方正仿宋_GBK"/>
          <w:b/>
          <w:bCs/>
          <w:color w:val="auto"/>
          <w:sz w:val="28"/>
          <w:szCs w:val="28"/>
          <w:highlight w:val="none"/>
        </w:rPr>
        <w:instrText xml:space="preserve"> TOC \o "1-1" \h \z \u </w:instrText>
      </w:r>
      <w:r>
        <w:rPr>
          <w:rFonts w:eastAsia="方正仿宋_GBK"/>
          <w:b/>
          <w:bCs/>
          <w:color w:val="auto"/>
          <w:sz w:val="28"/>
          <w:szCs w:val="28"/>
          <w:highlight w:val="none"/>
        </w:rPr>
        <w:fldChar w:fldCharType="separate"/>
      </w:r>
      <w:r>
        <w:rPr>
          <w:color w:val="auto"/>
          <w:highlight w:val="none"/>
        </w:rPr>
        <w:fldChar w:fldCharType="begin"/>
      </w:r>
      <w:r>
        <w:rPr>
          <w:color w:val="auto"/>
          <w:highlight w:val="none"/>
        </w:rPr>
        <w:instrText xml:space="preserve"> HYPERLINK \l "_Toc194572015" </w:instrText>
      </w:r>
      <w:r>
        <w:rPr>
          <w:color w:val="auto"/>
          <w:highlight w:val="none"/>
        </w:rPr>
        <w:fldChar w:fldCharType="separate"/>
      </w:r>
      <w:r>
        <w:rPr>
          <w:rFonts w:ascii="Calibri" w:hAnsi="Calibri" w:eastAsia="方正仿宋_GBK"/>
          <w:color w:val="auto"/>
          <w:sz w:val="28"/>
          <w:highlight w:val="none"/>
        </w:rPr>
        <w:t>第一篇  比选邀请书</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_Toc194572015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2</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52794D08">
      <w:pPr>
        <w:pStyle w:val="15"/>
        <w:tabs>
          <w:tab w:val="right" w:leader="dot" w:pos="9060"/>
        </w:tabs>
        <w:spacing w:line="579" w:lineRule="exact"/>
        <w:ind w:firstLine="0" w:firstLineChars="0"/>
        <w:rPr>
          <w:rFonts w:ascii="Calibri" w:hAnsi="Calibri" w:eastAsia="方正仿宋_GBK"/>
          <w:color w:val="auto"/>
          <w:sz w:val="28"/>
          <w:highlight w:val="none"/>
        </w:rPr>
      </w:pPr>
      <w:r>
        <w:rPr>
          <w:color w:val="auto"/>
          <w:highlight w:val="none"/>
        </w:rPr>
        <w:fldChar w:fldCharType="begin"/>
      </w:r>
      <w:r>
        <w:rPr>
          <w:color w:val="auto"/>
          <w:highlight w:val="none"/>
        </w:rPr>
        <w:instrText xml:space="preserve"> HYPERLINK \l "_Toc194572016" </w:instrText>
      </w:r>
      <w:r>
        <w:rPr>
          <w:color w:val="auto"/>
          <w:highlight w:val="none"/>
        </w:rPr>
        <w:fldChar w:fldCharType="separate"/>
      </w:r>
      <w:r>
        <w:rPr>
          <w:rFonts w:ascii="Calibri" w:hAnsi="Calibri" w:eastAsia="方正仿宋_GBK"/>
          <w:color w:val="auto"/>
          <w:sz w:val="28"/>
          <w:highlight w:val="none"/>
        </w:rPr>
        <w:t>第二篇  项目技术/服务需求</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_Toc194572016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5</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128D00CE">
      <w:pPr>
        <w:pStyle w:val="15"/>
        <w:tabs>
          <w:tab w:val="right" w:leader="dot" w:pos="9060"/>
        </w:tabs>
        <w:spacing w:line="579" w:lineRule="exact"/>
        <w:ind w:firstLine="0" w:firstLineChars="0"/>
        <w:rPr>
          <w:rFonts w:ascii="Calibri" w:hAnsi="Calibri" w:eastAsia="方正仿宋_GBK"/>
          <w:color w:val="auto"/>
          <w:sz w:val="28"/>
          <w:highlight w:val="none"/>
        </w:rPr>
      </w:pPr>
      <w:r>
        <w:rPr>
          <w:color w:val="auto"/>
          <w:highlight w:val="none"/>
        </w:rPr>
        <w:fldChar w:fldCharType="begin"/>
      </w:r>
      <w:r>
        <w:rPr>
          <w:color w:val="auto"/>
          <w:highlight w:val="none"/>
        </w:rPr>
        <w:instrText xml:space="preserve"> HYPERLINK \l "_Toc194572017" </w:instrText>
      </w:r>
      <w:r>
        <w:rPr>
          <w:color w:val="auto"/>
          <w:highlight w:val="none"/>
        </w:rPr>
        <w:fldChar w:fldCharType="separate"/>
      </w:r>
      <w:r>
        <w:rPr>
          <w:rFonts w:ascii="Calibri" w:hAnsi="Calibri" w:eastAsia="方正仿宋_GBK"/>
          <w:color w:val="auto"/>
          <w:sz w:val="28"/>
          <w:highlight w:val="none"/>
        </w:rPr>
        <w:t>第三篇  项目商务要求</w:t>
      </w:r>
      <w:r>
        <w:rPr>
          <w:rFonts w:ascii="Calibri" w:hAnsi="Calibri" w:eastAsia="方正仿宋_GBK"/>
          <w:color w:val="auto"/>
          <w:sz w:val="28"/>
          <w:highlight w:val="none"/>
        </w:rPr>
        <w:tab/>
      </w:r>
      <w:r>
        <w:rPr>
          <w:rFonts w:ascii="Calibri" w:hAnsi="Calibri" w:eastAsia="方正仿宋_GBK"/>
          <w:color w:val="auto"/>
          <w:sz w:val="28"/>
          <w:highlight w:val="none"/>
        </w:rPr>
        <w:fldChar w:fldCharType="end"/>
      </w:r>
      <w:r>
        <w:rPr>
          <w:rFonts w:hint="eastAsia" w:ascii="Calibri" w:hAnsi="Calibri" w:eastAsia="方正仿宋_GBK"/>
          <w:color w:val="auto"/>
          <w:sz w:val="28"/>
          <w:highlight w:val="none"/>
          <w:shd w:val="clear" w:color="FFFFFF" w:fill="D9D9D9"/>
        </w:rPr>
        <w:t>8</w:t>
      </w:r>
    </w:p>
    <w:p w14:paraId="46648A98">
      <w:pPr>
        <w:pStyle w:val="15"/>
        <w:tabs>
          <w:tab w:val="right" w:leader="dot" w:pos="9060"/>
        </w:tabs>
        <w:spacing w:line="579" w:lineRule="exact"/>
        <w:ind w:firstLine="0" w:firstLineChars="0"/>
        <w:rPr>
          <w:rFonts w:ascii="Calibri" w:hAnsi="Calibri" w:eastAsia="方正仿宋_GBK"/>
          <w:color w:val="auto"/>
          <w:sz w:val="28"/>
          <w:highlight w:val="none"/>
        </w:rPr>
      </w:pPr>
      <w:r>
        <w:rPr>
          <w:color w:val="auto"/>
          <w:highlight w:val="none"/>
        </w:rPr>
        <w:fldChar w:fldCharType="begin"/>
      </w:r>
      <w:r>
        <w:rPr>
          <w:color w:val="auto"/>
          <w:highlight w:val="none"/>
        </w:rPr>
        <w:instrText xml:space="preserve"> HYPERLINK \l "_Toc194572018" </w:instrText>
      </w:r>
      <w:r>
        <w:rPr>
          <w:color w:val="auto"/>
          <w:highlight w:val="none"/>
        </w:rPr>
        <w:fldChar w:fldCharType="separate"/>
      </w:r>
      <w:r>
        <w:rPr>
          <w:rFonts w:ascii="Calibri" w:hAnsi="Calibri" w:eastAsia="方正仿宋_GBK"/>
          <w:color w:val="auto"/>
          <w:sz w:val="28"/>
          <w:highlight w:val="none"/>
        </w:rPr>
        <w:t>第四篇  比选程序及方法、评审标准</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_Toc194572018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13</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1A25C60F">
      <w:pPr>
        <w:pStyle w:val="15"/>
        <w:tabs>
          <w:tab w:val="right" w:leader="dot" w:pos="9060"/>
        </w:tabs>
        <w:spacing w:line="579" w:lineRule="exact"/>
        <w:ind w:firstLine="0" w:firstLineChars="0"/>
        <w:rPr>
          <w:rFonts w:ascii="Calibri" w:hAnsi="Calibri" w:eastAsia="方正仿宋_GBK"/>
          <w:color w:val="auto"/>
          <w:sz w:val="28"/>
          <w:highlight w:val="none"/>
        </w:rPr>
      </w:pPr>
      <w:r>
        <w:rPr>
          <w:color w:val="auto"/>
          <w:highlight w:val="none"/>
        </w:rPr>
        <w:fldChar w:fldCharType="begin"/>
      </w:r>
      <w:r>
        <w:rPr>
          <w:color w:val="auto"/>
          <w:highlight w:val="none"/>
        </w:rPr>
        <w:instrText xml:space="preserve"> HYPERLINK \l "_Toc194572019" </w:instrText>
      </w:r>
      <w:r>
        <w:rPr>
          <w:color w:val="auto"/>
          <w:highlight w:val="none"/>
        </w:rPr>
        <w:fldChar w:fldCharType="separate"/>
      </w:r>
      <w:r>
        <w:rPr>
          <w:rFonts w:ascii="Calibri" w:hAnsi="Calibri" w:eastAsia="方正仿宋_GBK"/>
          <w:color w:val="auto"/>
          <w:sz w:val="28"/>
          <w:highlight w:val="none"/>
        </w:rPr>
        <w:t>第五篇  比选须知</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_Toc194572019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19</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362BE2F3">
      <w:pPr>
        <w:pStyle w:val="15"/>
        <w:tabs>
          <w:tab w:val="right" w:leader="dot" w:pos="9060"/>
        </w:tabs>
        <w:spacing w:line="579" w:lineRule="exact"/>
        <w:ind w:firstLine="0" w:firstLineChars="0"/>
        <w:rPr>
          <w:rFonts w:ascii="Calibri" w:hAnsi="Calibri" w:eastAsia="方正仿宋_GBK"/>
          <w:color w:val="auto"/>
          <w:sz w:val="28"/>
          <w:highlight w:val="none"/>
        </w:rPr>
      </w:pPr>
      <w:r>
        <w:rPr>
          <w:color w:val="auto"/>
          <w:highlight w:val="none"/>
        </w:rPr>
        <w:fldChar w:fldCharType="begin"/>
      </w:r>
      <w:r>
        <w:rPr>
          <w:color w:val="auto"/>
          <w:highlight w:val="none"/>
        </w:rPr>
        <w:instrText xml:space="preserve"> HYPERLINK \l "_Toc194572020" </w:instrText>
      </w:r>
      <w:r>
        <w:rPr>
          <w:color w:val="auto"/>
          <w:highlight w:val="none"/>
        </w:rPr>
        <w:fldChar w:fldCharType="separate"/>
      </w:r>
      <w:r>
        <w:rPr>
          <w:rFonts w:ascii="Calibri" w:hAnsi="Calibri" w:eastAsia="方正仿宋_GBK"/>
          <w:color w:val="auto"/>
          <w:sz w:val="28"/>
          <w:highlight w:val="none"/>
        </w:rPr>
        <w:t>第六篇  合同主要条款和格式合同（样本）</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_Toc194572020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20</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4CAE5247">
      <w:pPr>
        <w:pStyle w:val="15"/>
        <w:tabs>
          <w:tab w:val="right" w:leader="dot" w:pos="9060"/>
        </w:tabs>
        <w:spacing w:line="579" w:lineRule="exact"/>
        <w:ind w:firstLine="0" w:firstLineChars="0"/>
        <w:rPr>
          <w:rFonts w:eastAsia="方正仿宋_GBK"/>
          <w:b/>
          <w:bCs/>
          <w:color w:val="auto"/>
          <w:sz w:val="28"/>
          <w:szCs w:val="28"/>
          <w:highlight w:val="none"/>
        </w:rPr>
      </w:pPr>
      <w:r>
        <w:rPr>
          <w:color w:val="auto"/>
          <w:highlight w:val="none"/>
        </w:rPr>
        <w:fldChar w:fldCharType="begin"/>
      </w:r>
      <w:r>
        <w:rPr>
          <w:color w:val="auto"/>
          <w:highlight w:val="none"/>
        </w:rPr>
        <w:instrText xml:space="preserve"> HYPERLINK \l "_Toc194572021" </w:instrText>
      </w:r>
      <w:r>
        <w:rPr>
          <w:color w:val="auto"/>
          <w:highlight w:val="none"/>
        </w:rPr>
        <w:fldChar w:fldCharType="separate"/>
      </w:r>
      <w:r>
        <w:rPr>
          <w:rFonts w:ascii="Calibri" w:hAnsi="Calibri" w:eastAsia="方正仿宋_GBK"/>
          <w:color w:val="auto"/>
          <w:sz w:val="28"/>
          <w:highlight w:val="none"/>
        </w:rPr>
        <w:t>第七篇  参选文件格式</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_Toc194572021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32</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56974B01">
      <w:pPr>
        <w:pStyle w:val="15"/>
        <w:tabs>
          <w:tab w:val="right" w:leader="dot" w:pos="9060"/>
        </w:tabs>
        <w:ind w:firstLine="562"/>
        <w:rPr>
          <w:rFonts w:eastAsia="仿宋"/>
          <w:color w:val="auto"/>
          <w:highlight w:val="none"/>
        </w:rPr>
      </w:pPr>
      <w:r>
        <w:rPr>
          <w:rFonts w:eastAsia="方正仿宋_GBK"/>
          <w:b/>
          <w:bCs/>
          <w:color w:val="auto"/>
          <w:sz w:val="28"/>
          <w:szCs w:val="28"/>
          <w:highlight w:val="none"/>
        </w:rPr>
        <w:fldChar w:fldCharType="end"/>
      </w:r>
    </w:p>
    <w:p w14:paraId="05253DB5">
      <w:pPr>
        <w:ind w:left="560" w:firstLine="0" w:firstLineChars="0"/>
        <w:rPr>
          <w:rFonts w:ascii="Times New Roman" w:hAnsi="Times New Roman" w:eastAsia="仿宋"/>
          <w:color w:val="auto"/>
          <w:highlight w:val="none"/>
        </w:rPr>
      </w:pPr>
    </w:p>
    <w:p w14:paraId="00BD0227">
      <w:pPr>
        <w:ind w:left="560" w:firstLine="0" w:firstLineChars="0"/>
        <w:rPr>
          <w:rFonts w:ascii="Times New Roman" w:hAnsi="Times New Roman" w:eastAsia="仿宋"/>
          <w:color w:val="auto"/>
          <w:highlight w:val="none"/>
        </w:rPr>
      </w:pPr>
    </w:p>
    <w:p w14:paraId="6E084AE3">
      <w:pPr>
        <w:ind w:left="560" w:firstLine="0" w:firstLineChars="0"/>
        <w:rPr>
          <w:rFonts w:ascii="Times New Roman" w:hAnsi="Times New Roman" w:eastAsia="仿宋"/>
          <w:color w:val="auto"/>
          <w:highlight w:val="none"/>
        </w:rPr>
      </w:pPr>
    </w:p>
    <w:p w14:paraId="4F2DD390">
      <w:pPr>
        <w:ind w:left="560" w:firstLine="0" w:firstLineChars="0"/>
        <w:rPr>
          <w:rFonts w:ascii="Times New Roman" w:hAnsi="Times New Roman" w:eastAsia="仿宋"/>
          <w:color w:val="auto"/>
          <w:highlight w:val="none"/>
        </w:rPr>
      </w:pPr>
    </w:p>
    <w:p w14:paraId="2C1A0C50">
      <w:pPr>
        <w:ind w:left="560" w:firstLine="0" w:firstLineChars="0"/>
        <w:rPr>
          <w:rFonts w:ascii="Times New Roman" w:hAnsi="Times New Roman" w:eastAsia="仿宋"/>
          <w:color w:val="auto"/>
          <w:highlight w:val="none"/>
        </w:rPr>
      </w:pPr>
    </w:p>
    <w:p w14:paraId="7E571A19">
      <w:pPr>
        <w:ind w:left="560" w:firstLine="0" w:firstLineChars="0"/>
        <w:rPr>
          <w:rFonts w:ascii="Times New Roman" w:hAnsi="Times New Roman" w:eastAsia="仿宋"/>
          <w:color w:val="auto"/>
          <w:highlight w:val="none"/>
        </w:rPr>
      </w:pPr>
    </w:p>
    <w:p w14:paraId="6E912465">
      <w:pPr>
        <w:ind w:left="560" w:firstLine="0" w:firstLineChars="0"/>
        <w:rPr>
          <w:rFonts w:ascii="Times New Roman" w:hAnsi="Times New Roman" w:eastAsia="仿宋"/>
          <w:color w:val="auto"/>
          <w:highlight w:val="none"/>
        </w:rPr>
      </w:pPr>
    </w:p>
    <w:p w14:paraId="512E2582">
      <w:pPr>
        <w:ind w:left="560" w:firstLine="0" w:firstLineChars="0"/>
        <w:rPr>
          <w:rFonts w:ascii="Times New Roman" w:hAnsi="Times New Roman" w:eastAsia="仿宋"/>
          <w:color w:val="auto"/>
          <w:highlight w:val="none"/>
        </w:rPr>
      </w:pPr>
    </w:p>
    <w:p w14:paraId="7261DEF0">
      <w:pPr>
        <w:ind w:left="560" w:firstLine="0" w:firstLineChars="0"/>
        <w:rPr>
          <w:rFonts w:ascii="Times New Roman" w:hAnsi="Times New Roman" w:eastAsia="仿宋"/>
          <w:color w:val="auto"/>
          <w:highlight w:val="none"/>
        </w:rPr>
      </w:pPr>
    </w:p>
    <w:bookmarkEnd w:id="0"/>
    <w:bookmarkEnd w:id="1"/>
    <w:bookmarkEnd w:id="2"/>
    <w:bookmarkEnd w:id="3"/>
    <w:bookmarkEnd w:id="4"/>
    <w:bookmarkEnd w:id="5"/>
    <w:p w14:paraId="2FB2A0EA">
      <w:pPr>
        <w:ind w:firstLine="560" w:firstLineChars="0"/>
        <w:rPr>
          <w:rFonts w:ascii="Times New Roman" w:hAnsi="Times New Roman" w:eastAsia="仿宋"/>
          <w:color w:val="auto"/>
          <w:szCs w:val="28"/>
          <w:highlight w:val="none"/>
        </w:rPr>
      </w:pPr>
    </w:p>
    <w:p w14:paraId="72D3F112">
      <w:pPr>
        <w:pStyle w:val="15"/>
        <w:ind w:firstLine="480"/>
        <w:rPr>
          <w:rFonts w:eastAsia="仿宋"/>
          <w:color w:val="auto"/>
          <w:szCs w:val="28"/>
          <w:highlight w:val="none"/>
        </w:rPr>
      </w:pPr>
    </w:p>
    <w:p w14:paraId="47D424FE">
      <w:pPr>
        <w:ind w:firstLineChars="0"/>
        <w:jc w:val="center"/>
        <w:rPr>
          <w:rFonts w:ascii="Times New Roman" w:hAnsi="Times New Roman" w:eastAsia="方正小标宋_GBK"/>
          <w:b/>
          <w:bCs/>
          <w:color w:val="auto"/>
          <w:kern w:val="44"/>
          <w:sz w:val="32"/>
          <w:szCs w:val="44"/>
          <w:highlight w:val="none"/>
        </w:rPr>
      </w:pPr>
      <w:bookmarkStart w:id="6" w:name="_Toc194572015"/>
      <w:r>
        <w:rPr>
          <w:rFonts w:ascii="Times New Roman" w:hAnsi="Times New Roman" w:eastAsia="方正小标宋_GBK"/>
          <w:b/>
          <w:bCs/>
          <w:color w:val="auto"/>
          <w:kern w:val="44"/>
          <w:sz w:val="32"/>
          <w:szCs w:val="44"/>
          <w:highlight w:val="none"/>
        </w:rPr>
        <w:br w:type="page"/>
      </w:r>
    </w:p>
    <w:p w14:paraId="309BFC04">
      <w:pPr>
        <w:pStyle w:val="2"/>
        <w:spacing w:before="0" w:after="0" w:line="500" w:lineRule="exact"/>
        <w:ind w:firstLine="0" w:firstLineChars="0"/>
        <w:jc w:val="center"/>
        <w:rPr>
          <w:rFonts w:ascii="Times New Roman" w:hAnsi="Times New Roman" w:eastAsia="方正小标宋_GBK" w:cs="Times New Roman"/>
          <w:b/>
          <w:bCs/>
          <w:color w:val="auto"/>
          <w:kern w:val="44"/>
          <w:sz w:val="32"/>
          <w:szCs w:val="44"/>
          <w:highlight w:val="none"/>
        </w:rPr>
      </w:pPr>
      <w:r>
        <w:rPr>
          <w:rFonts w:ascii="Times New Roman" w:hAnsi="Times New Roman" w:eastAsia="方正小标宋_GBK" w:cs="Times New Roman"/>
          <w:b/>
          <w:bCs/>
          <w:color w:val="auto"/>
          <w:kern w:val="44"/>
          <w:sz w:val="32"/>
          <w:szCs w:val="44"/>
          <w:highlight w:val="none"/>
        </w:rPr>
        <w:t>第一篇  比选邀请书</w:t>
      </w:r>
      <w:bookmarkEnd w:id="6"/>
    </w:p>
    <w:p w14:paraId="6B1FF3D3">
      <w:pPr>
        <w:ind w:firstLine="560"/>
        <w:rPr>
          <w:rFonts w:ascii="Times New Roman" w:hAnsi="Times New Roman"/>
          <w:b w:val="0"/>
          <w:bCs w:val="0"/>
          <w:color w:val="auto"/>
          <w:szCs w:val="28"/>
          <w:highlight w:val="none"/>
          <w:u w:val="single"/>
        </w:rPr>
      </w:pPr>
      <w:bookmarkStart w:id="7" w:name="_Hlk184023984"/>
      <w:r>
        <w:rPr>
          <w:rFonts w:ascii="Times New Roman" w:hAnsi="Times New Roman"/>
          <w:b w:val="0"/>
          <w:bCs w:val="0"/>
          <w:color w:val="auto"/>
          <w:szCs w:val="28"/>
          <w:highlight w:val="none"/>
        </w:rPr>
        <w:t>重庆华龙网集团股份有限公司（以下简称“采购人”）对</w:t>
      </w:r>
      <w:r>
        <w:rPr>
          <w:rFonts w:hint="eastAsia" w:ascii="Times New Roman" w:hAnsi="Times New Roman" w:eastAsia="仿宋"/>
          <w:b w:val="0"/>
          <w:bCs w:val="0"/>
          <w:color w:val="auto"/>
          <w:kern w:val="0"/>
          <w:szCs w:val="28"/>
          <w:highlight w:val="none"/>
          <w:u w:val="single"/>
        </w:rPr>
        <w:t>2026年华龙网信息安全服务</w:t>
      </w:r>
      <w:r>
        <w:rPr>
          <w:rFonts w:ascii="Times New Roman" w:hAnsi="Times New Roman"/>
          <w:b w:val="0"/>
          <w:bCs w:val="0"/>
          <w:color w:val="auto"/>
          <w:szCs w:val="28"/>
          <w:highlight w:val="none"/>
        </w:rPr>
        <w:t>面向社会进行竞争性比选采购。欢迎有资格的</w:t>
      </w:r>
      <w:r>
        <w:rPr>
          <w:rFonts w:hint="eastAsia" w:ascii="Times New Roman" w:hAnsi="Times New Roman"/>
          <w:b w:val="0"/>
          <w:bCs w:val="0"/>
          <w:color w:val="auto"/>
          <w:szCs w:val="28"/>
          <w:highlight w:val="none"/>
        </w:rPr>
        <w:t>参选人</w:t>
      </w:r>
      <w:r>
        <w:rPr>
          <w:rFonts w:ascii="Times New Roman" w:hAnsi="Times New Roman"/>
          <w:b w:val="0"/>
          <w:bCs w:val="0"/>
          <w:color w:val="auto"/>
          <w:szCs w:val="28"/>
          <w:highlight w:val="none"/>
        </w:rPr>
        <w:t>前来参与比选。</w:t>
      </w:r>
    </w:p>
    <w:p w14:paraId="43D9E5B4">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8" w:name="_Toc25038"/>
      <w:bookmarkStart w:id="9" w:name="_Toc105081899"/>
      <w:bookmarkStart w:id="10" w:name="_Toc29938"/>
      <w:bookmarkStart w:id="11" w:name="_Toc31682"/>
      <w:bookmarkStart w:id="12" w:name="_Toc1116"/>
      <w:r>
        <w:rPr>
          <w:rFonts w:ascii="Times New Roman" w:hAnsi="Times New Roman" w:eastAsia="方正黑体_GBK" w:cs="Times New Roman"/>
          <w:color w:val="auto"/>
          <w:sz w:val="28"/>
          <w:szCs w:val="20"/>
          <w:highlight w:val="none"/>
        </w:rPr>
        <w:t>一、竞争性比选内容</w:t>
      </w:r>
      <w:bookmarkEnd w:id="8"/>
      <w:bookmarkEnd w:id="9"/>
      <w:bookmarkEnd w:id="10"/>
      <w:bookmarkEnd w:id="11"/>
      <w:bookmarkEnd w:id="12"/>
    </w:p>
    <w:tbl>
      <w:tblPr>
        <w:tblStyle w:val="19"/>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7"/>
        <w:gridCol w:w="2445"/>
        <w:gridCol w:w="1995"/>
        <w:gridCol w:w="1125"/>
      </w:tblGrid>
      <w:tr w14:paraId="0E34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837" w:type="dxa"/>
            <w:tcBorders>
              <w:top w:val="single" w:color="auto" w:sz="4" w:space="0"/>
              <w:left w:val="single" w:color="auto" w:sz="4" w:space="0"/>
              <w:right w:val="single" w:color="auto" w:sz="4" w:space="0"/>
            </w:tcBorders>
            <w:vAlign w:val="center"/>
          </w:tcPr>
          <w:p w14:paraId="194E1491">
            <w:pPr>
              <w:widowControl/>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项目名称</w:t>
            </w:r>
          </w:p>
        </w:tc>
        <w:tc>
          <w:tcPr>
            <w:tcW w:w="2445" w:type="dxa"/>
            <w:tcBorders>
              <w:top w:val="single" w:color="auto" w:sz="4" w:space="0"/>
              <w:left w:val="single" w:color="auto" w:sz="4" w:space="0"/>
              <w:right w:val="single" w:color="auto" w:sz="4" w:space="0"/>
            </w:tcBorders>
            <w:vAlign w:val="center"/>
          </w:tcPr>
          <w:p w14:paraId="6377C0E9">
            <w:pPr>
              <w:widowControl/>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采购预算</w:t>
            </w:r>
          </w:p>
          <w:p w14:paraId="04309A5E">
            <w:pPr>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（万元）</w:t>
            </w:r>
          </w:p>
        </w:tc>
        <w:tc>
          <w:tcPr>
            <w:tcW w:w="1995" w:type="dxa"/>
            <w:tcBorders>
              <w:top w:val="single" w:color="auto" w:sz="4" w:space="0"/>
              <w:left w:val="single" w:color="auto" w:sz="4" w:space="0"/>
              <w:right w:val="single" w:color="auto" w:sz="4" w:space="0"/>
            </w:tcBorders>
            <w:vAlign w:val="center"/>
          </w:tcPr>
          <w:p w14:paraId="579EB4F4">
            <w:pPr>
              <w:spacing w:line="360" w:lineRule="exact"/>
              <w:ind w:firstLine="0" w:firstLineChars="0"/>
              <w:jc w:val="center"/>
              <w:rPr>
                <w:rFonts w:ascii="Times New Roman" w:hAnsi="Times New Roman" w:eastAsia="仿宋"/>
                <w:color w:val="auto"/>
                <w:szCs w:val="28"/>
                <w:highlight w:val="none"/>
              </w:rPr>
            </w:pPr>
            <w:r>
              <w:rPr>
                <w:rFonts w:ascii="Times New Roman" w:hAnsi="Times New Roman" w:eastAsia="仿宋"/>
                <w:b/>
                <w:bCs/>
                <w:color w:val="auto"/>
                <w:kern w:val="0"/>
                <w:szCs w:val="28"/>
                <w:highlight w:val="none"/>
              </w:rPr>
              <w:t>成交数量</w:t>
            </w:r>
          </w:p>
          <w:p w14:paraId="7E90E64E">
            <w:pPr>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（名）</w:t>
            </w:r>
          </w:p>
        </w:tc>
        <w:tc>
          <w:tcPr>
            <w:tcW w:w="1125" w:type="dxa"/>
            <w:tcBorders>
              <w:top w:val="single" w:color="auto" w:sz="4" w:space="0"/>
              <w:left w:val="single" w:color="auto" w:sz="4" w:space="0"/>
              <w:right w:val="single" w:color="auto" w:sz="4" w:space="0"/>
            </w:tcBorders>
            <w:vAlign w:val="center"/>
          </w:tcPr>
          <w:p w14:paraId="17E02D3C">
            <w:pPr>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备注</w:t>
            </w:r>
          </w:p>
        </w:tc>
      </w:tr>
      <w:tr w14:paraId="07C8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837" w:type="dxa"/>
            <w:tcBorders>
              <w:top w:val="single" w:color="auto" w:sz="4" w:space="0"/>
              <w:left w:val="single" w:color="auto" w:sz="4" w:space="0"/>
              <w:right w:val="single" w:color="auto" w:sz="4" w:space="0"/>
            </w:tcBorders>
            <w:vAlign w:val="center"/>
          </w:tcPr>
          <w:p w14:paraId="7C7DFC7B">
            <w:pPr>
              <w:widowControl/>
              <w:spacing w:line="360" w:lineRule="exact"/>
              <w:ind w:firstLine="0" w:firstLineChars="0"/>
              <w:jc w:val="center"/>
              <w:rPr>
                <w:rFonts w:ascii="Times New Roman" w:hAnsi="Times New Roman" w:eastAsia="仿宋"/>
                <w:b/>
                <w:bCs/>
                <w:color w:val="auto"/>
                <w:kern w:val="0"/>
                <w:szCs w:val="28"/>
                <w:highlight w:val="none"/>
              </w:rPr>
            </w:pPr>
            <w:bookmarkStart w:id="13" w:name="_Hlk344477914"/>
            <w:r>
              <w:rPr>
                <w:rFonts w:hint="eastAsia" w:ascii="Times New Roman" w:hAnsi="Times New Roman" w:eastAsia="仿宋"/>
                <w:b/>
                <w:bCs/>
                <w:color w:val="auto"/>
                <w:kern w:val="0"/>
                <w:szCs w:val="28"/>
                <w:highlight w:val="none"/>
              </w:rPr>
              <w:t>2026年华龙网信息安全服务</w:t>
            </w:r>
          </w:p>
        </w:tc>
        <w:tc>
          <w:tcPr>
            <w:tcW w:w="2445" w:type="dxa"/>
            <w:tcBorders>
              <w:top w:val="single" w:color="auto" w:sz="4" w:space="0"/>
              <w:left w:val="single" w:color="auto" w:sz="4" w:space="0"/>
              <w:right w:val="single" w:color="auto" w:sz="4" w:space="0"/>
            </w:tcBorders>
            <w:vAlign w:val="center"/>
          </w:tcPr>
          <w:p w14:paraId="084BE576">
            <w:pPr>
              <w:widowControl/>
              <w:spacing w:line="360" w:lineRule="exact"/>
              <w:ind w:firstLine="0" w:firstLineChars="0"/>
              <w:jc w:val="center"/>
              <w:rPr>
                <w:rFonts w:ascii="Times New Roman" w:hAnsi="Times New Roman" w:eastAsia="仿宋"/>
                <w:b/>
                <w:bCs/>
                <w:color w:val="auto"/>
                <w:kern w:val="0"/>
                <w:szCs w:val="28"/>
                <w:highlight w:val="none"/>
              </w:rPr>
            </w:pPr>
            <w:r>
              <w:rPr>
                <w:rFonts w:hint="eastAsia" w:ascii="Times New Roman" w:hAnsi="Times New Roman" w:eastAsia="仿宋"/>
                <w:b/>
                <w:bCs/>
                <w:color w:val="auto"/>
                <w:kern w:val="0"/>
                <w:szCs w:val="28"/>
                <w:highlight w:val="none"/>
              </w:rPr>
              <w:t>29.5</w:t>
            </w:r>
            <w:r>
              <w:rPr>
                <w:rFonts w:ascii="Times New Roman" w:hAnsi="Times New Roman" w:eastAsia="仿宋"/>
                <w:b/>
                <w:bCs/>
                <w:color w:val="auto"/>
                <w:kern w:val="0"/>
                <w:szCs w:val="28"/>
                <w:highlight w:val="none"/>
              </w:rPr>
              <w:t>0</w:t>
            </w:r>
          </w:p>
        </w:tc>
        <w:tc>
          <w:tcPr>
            <w:tcW w:w="1995" w:type="dxa"/>
            <w:tcBorders>
              <w:top w:val="single" w:color="auto" w:sz="4" w:space="0"/>
              <w:left w:val="single" w:color="auto" w:sz="4" w:space="0"/>
              <w:right w:val="single" w:color="auto" w:sz="4" w:space="0"/>
            </w:tcBorders>
            <w:vAlign w:val="center"/>
          </w:tcPr>
          <w:p w14:paraId="62AE8D32">
            <w:pPr>
              <w:widowControl/>
              <w:spacing w:line="360" w:lineRule="exact"/>
              <w:ind w:firstLine="0" w:firstLineChars="0"/>
              <w:jc w:val="center"/>
              <w:rPr>
                <w:rFonts w:ascii="Times New Roman" w:hAnsi="Times New Roman" w:eastAsia="仿宋"/>
                <w:color w:val="auto"/>
                <w:kern w:val="0"/>
                <w:szCs w:val="28"/>
                <w:highlight w:val="none"/>
              </w:rPr>
            </w:pPr>
            <w:r>
              <w:rPr>
                <w:rFonts w:ascii="Times New Roman" w:hAnsi="Times New Roman" w:eastAsia="仿宋"/>
                <w:color w:val="auto"/>
                <w:kern w:val="0"/>
                <w:szCs w:val="28"/>
                <w:highlight w:val="none"/>
              </w:rPr>
              <w:t>1</w:t>
            </w:r>
          </w:p>
        </w:tc>
        <w:tc>
          <w:tcPr>
            <w:tcW w:w="1125" w:type="dxa"/>
            <w:tcBorders>
              <w:top w:val="single" w:color="auto" w:sz="4" w:space="0"/>
              <w:left w:val="single" w:color="auto" w:sz="4" w:space="0"/>
              <w:right w:val="single" w:color="auto" w:sz="4" w:space="0"/>
            </w:tcBorders>
            <w:vAlign w:val="center"/>
          </w:tcPr>
          <w:p w14:paraId="5D6BB33E">
            <w:pPr>
              <w:widowControl/>
              <w:spacing w:line="360" w:lineRule="exact"/>
              <w:ind w:firstLine="0" w:firstLineChars="0"/>
              <w:jc w:val="center"/>
              <w:rPr>
                <w:rFonts w:hint="eastAsia" w:ascii="Times New Roman" w:hAnsi="Times New Roman" w:eastAsia="仿宋"/>
                <w:b/>
                <w:color w:val="auto"/>
                <w:kern w:val="0"/>
                <w:szCs w:val="28"/>
                <w:highlight w:val="none"/>
                <w:lang w:val="en-US" w:eastAsia="zh-CN"/>
              </w:rPr>
            </w:pPr>
            <w:r>
              <w:rPr>
                <w:rFonts w:hint="eastAsia" w:ascii="Times New Roman" w:hAnsi="Times New Roman" w:eastAsia="仿宋"/>
                <w:b/>
                <w:color w:val="auto"/>
                <w:kern w:val="0"/>
                <w:szCs w:val="28"/>
                <w:highlight w:val="none"/>
                <w:lang w:val="en-US" w:eastAsia="zh-CN"/>
              </w:rPr>
              <w:t>无</w:t>
            </w:r>
          </w:p>
        </w:tc>
      </w:tr>
      <w:bookmarkEnd w:id="13"/>
    </w:tbl>
    <w:p w14:paraId="29C92BB2">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14" w:name="_Toc19104"/>
      <w:bookmarkStart w:id="15" w:name="_Toc105081900"/>
      <w:bookmarkStart w:id="16" w:name="_Toc9326"/>
      <w:bookmarkStart w:id="17" w:name="_Toc28662"/>
      <w:bookmarkStart w:id="18" w:name="_Toc22473"/>
      <w:r>
        <w:rPr>
          <w:rFonts w:ascii="Times New Roman" w:hAnsi="Times New Roman" w:eastAsia="方正黑体_GBK" w:cs="Times New Roman"/>
          <w:color w:val="auto"/>
          <w:sz w:val="28"/>
          <w:szCs w:val="20"/>
          <w:highlight w:val="none"/>
        </w:rPr>
        <w:t>二、资金来源</w:t>
      </w:r>
      <w:bookmarkEnd w:id="14"/>
      <w:bookmarkEnd w:id="15"/>
    </w:p>
    <w:p w14:paraId="259E0549">
      <w:pPr>
        <w:ind w:firstLine="560"/>
        <w:rPr>
          <w:rFonts w:ascii="Times New Roman" w:hAnsi="Times New Roman"/>
          <w:color w:val="auto"/>
          <w:szCs w:val="28"/>
          <w:highlight w:val="none"/>
        </w:rPr>
      </w:pPr>
      <w:r>
        <w:rPr>
          <w:rFonts w:ascii="Times New Roman" w:hAnsi="Times New Roman"/>
          <w:color w:val="auto"/>
          <w:szCs w:val="28"/>
          <w:highlight w:val="none"/>
        </w:rPr>
        <w:t>业主自筹</w:t>
      </w:r>
    </w:p>
    <w:p w14:paraId="3A3D8F25">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19" w:name="_Toc105081901"/>
      <w:bookmarkStart w:id="20" w:name="_Toc3950"/>
      <w:r>
        <w:rPr>
          <w:rFonts w:ascii="Times New Roman" w:hAnsi="Times New Roman" w:eastAsia="方正黑体_GBK" w:cs="Times New Roman"/>
          <w:color w:val="auto"/>
          <w:sz w:val="28"/>
          <w:szCs w:val="20"/>
          <w:highlight w:val="none"/>
        </w:rPr>
        <w:t>三、</w:t>
      </w:r>
      <w:r>
        <w:rPr>
          <w:rFonts w:hint="eastAsia" w:ascii="Times New Roman" w:hAnsi="Times New Roman" w:eastAsia="方正黑体_GBK" w:cs="Times New Roman"/>
          <w:color w:val="auto"/>
          <w:sz w:val="28"/>
          <w:szCs w:val="20"/>
          <w:highlight w:val="none"/>
        </w:rPr>
        <w:t>参选人</w:t>
      </w:r>
      <w:r>
        <w:rPr>
          <w:rFonts w:ascii="Times New Roman" w:hAnsi="Times New Roman" w:eastAsia="方正黑体_GBK" w:cs="Times New Roman"/>
          <w:color w:val="auto"/>
          <w:sz w:val="28"/>
          <w:szCs w:val="20"/>
          <w:highlight w:val="none"/>
        </w:rPr>
        <w:t>资格要求</w:t>
      </w:r>
      <w:bookmarkEnd w:id="16"/>
      <w:bookmarkEnd w:id="17"/>
      <w:bookmarkEnd w:id="18"/>
      <w:bookmarkEnd w:id="19"/>
      <w:bookmarkEnd w:id="20"/>
    </w:p>
    <w:p w14:paraId="0C1585F3">
      <w:pPr>
        <w:tabs>
          <w:tab w:val="left" w:pos="6930"/>
        </w:tabs>
        <w:adjustRightInd w:val="0"/>
        <w:snapToGrid w:val="0"/>
        <w:ind w:firstLine="560"/>
        <w:rPr>
          <w:rFonts w:ascii="Times New Roman" w:hAnsi="Times New Roman"/>
          <w:color w:val="auto"/>
          <w:szCs w:val="28"/>
          <w:highlight w:val="none"/>
        </w:rPr>
      </w:pPr>
      <w:r>
        <w:rPr>
          <w:rFonts w:hint="eastAsia" w:ascii="Times New Roman" w:hAnsi="Times New Roman"/>
          <w:color w:val="auto"/>
          <w:szCs w:val="28"/>
          <w:highlight w:val="none"/>
        </w:rPr>
        <w:t>参选人</w:t>
      </w:r>
      <w:r>
        <w:rPr>
          <w:rFonts w:ascii="Times New Roman" w:hAnsi="Times New Roman"/>
          <w:color w:val="auto"/>
          <w:szCs w:val="28"/>
          <w:highlight w:val="none"/>
        </w:rPr>
        <w:t>是指向采购人提供服务或者货物的法人、其他组织或者自然人。合格的</w:t>
      </w:r>
      <w:r>
        <w:rPr>
          <w:rFonts w:hint="eastAsia" w:ascii="Times New Roman" w:hAnsi="Times New Roman"/>
          <w:color w:val="auto"/>
          <w:szCs w:val="28"/>
          <w:highlight w:val="none"/>
        </w:rPr>
        <w:t>参选人</w:t>
      </w:r>
      <w:r>
        <w:rPr>
          <w:rFonts w:ascii="Times New Roman" w:hAnsi="Times New Roman"/>
          <w:color w:val="auto"/>
          <w:szCs w:val="28"/>
          <w:highlight w:val="none"/>
        </w:rPr>
        <w:t>应首先符合</w:t>
      </w:r>
      <w:r>
        <w:rPr>
          <w:rFonts w:hint="eastAsia" w:ascii="Times New Roman" w:hAnsi="Times New Roman"/>
          <w:color w:val="auto"/>
          <w:szCs w:val="28"/>
          <w:highlight w:val="none"/>
        </w:rPr>
        <w:t>比选文件</w:t>
      </w:r>
      <w:r>
        <w:rPr>
          <w:rFonts w:ascii="Times New Roman" w:hAnsi="Times New Roman"/>
          <w:color w:val="auto"/>
          <w:szCs w:val="28"/>
          <w:highlight w:val="none"/>
        </w:rPr>
        <w:t>规定的基本资格条件，</w:t>
      </w:r>
      <w:r>
        <w:rPr>
          <w:rFonts w:hint="eastAsia" w:ascii="Times New Roman" w:hAnsi="Times New Roman"/>
          <w:color w:val="auto"/>
          <w:szCs w:val="28"/>
          <w:highlight w:val="none"/>
        </w:rPr>
        <w:t>并</w:t>
      </w:r>
      <w:r>
        <w:rPr>
          <w:rFonts w:ascii="Times New Roman" w:hAnsi="Times New Roman"/>
          <w:color w:val="auto"/>
          <w:szCs w:val="28"/>
          <w:highlight w:val="none"/>
        </w:rPr>
        <w:t>符合项目特殊要求</w:t>
      </w:r>
      <w:r>
        <w:rPr>
          <w:rFonts w:hint="eastAsia" w:ascii="Times New Roman" w:hAnsi="Times New Roman"/>
          <w:color w:val="auto"/>
          <w:szCs w:val="28"/>
          <w:highlight w:val="none"/>
        </w:rPr>
        <w:t>所</w:t>
      </w:r>
      <w:r>
        <w:rPr>
          <w:rFonts w:ascii="Times New Roman" w:hAnsi="Times New Roman"/>
          <w:color w:val="auto"/>
          <w:szCs w:val="28"/>
          <w:highlight w:val="none"/>
        </w:rPr>
        <w:t>设置的特定资格条件。</w:t>
      </w:r>
    </w:p>
    <w:p w14:paraId="0AB507EF">
      <w:pPr>
        <w:ind w:firstLine="560"/>
        <w:rPr>
          <w:rFonts w:ascii="Times New Roman" w:hAnsi="Times New Roman"/>
          <w:color w:val="auto"/>
          <w:szCs w:val="28"/>
          <w:highlight w:val="none"/>
        </w:rPr>
      </w:pPr>
      <w:r>
        <w:rPr>
          <w:rFonts w:ascii="Times New Roman" w:hAnsi="Times New Roman"/>
          <w:color w:val="auto"/>
          <w:szCs w:val="28"/>
          <w:highlight w:val="none"/>
        </w:rPr>
        <w:t>（一）基本资格条件</w:t>
      </w:r>
    </w:p>
    <w:p w14:paraId="5DFE1358">
      <w:pPr>
        <w:ind w:firstLine="560"/>
        <w:rPr>
          <w:rFonts w:ascii="Times New Roman" w:hAnsi="Times New Roman"/>
          <w:color w:val="auto"/>
          <w:szCs w:val="28"/>
          <w:highlight w:val="none"/>
        </w:rPr>
      </w:pPr>
      <w:r>
        <w:rPr>
          <w:rFonts w:ascii="Times New Roman" w:hAnsi="Times New Roman"/>
          <w:color w:val="auto"/>
          <w:szCs w:val="28"/>
          <w:highlight w:val="none"/>
        </w:rPr>
        <w:t>1.具有独立承担民事责任的能力。</w:t>
      </w:r>
    </w:p>
    <w:p w14:paraId="773907A8">
      <w:pPr>
        <w:ind w:firstLine="560"/>
        <w:rPr>
          <w:rFonts w:ascii="Times New Roman" w:hAnsi="Times New Roman"/>
          <w:color w:val="auto"/>
          <w:szCs w:val="28"/>
          <w:highlight w:val="none"/>
        </w:rPr>
      </w:pPr>
      <w:r>
        <w:rPr>
          <w:rFonts w:ascii="Times New Roman" w:hAnsi="Times New Roman"/>
          <w:color w:val="auto"/>
          <w:szCs w:val="28"/>
          <w:highlight w:val="none"/>
        </w:rPr>
        <w:t>2.具有良好的商业信誉和健全的财务会计制度</w:t>
      </w:r>
      <w:r>
        <w:rPr>
          <w:rFonts w:hint="eastAsia" w:ascii="Times New Roman" w:hAnsi="Times New Roman"/>
          <w:color w:val="auto"/>
          <w:szCs w:val="28"/>
          <w:highlight w:val="none"/>
        </w:rPr>
        <w:t>。</w:t>
      </w:r>
    </w:p>
    <w:p w14:paraId="61E7BF6D">
      <w:pPr>
        <w:ind w:firstLine="560"/>
        <w:rPr>
          <w:rFonts w:ascii="Times New Roman" w:hAnsi="Times New Roman"/>
          <w:color w:val="auto"/>
          <w:szCs w:val="28"/>
          <w:highlight w:val="none"/>
        </w:rPr>
      </w:pPr>
      <w:r>
        <w:rPr>
          <w:rFonts w:ascii="Times New Roman" w:hAnsi="Times New Roman"/>
          <w:color w:val="auto"/>
          <w:szCs w:val="28"/>
          <w:highlight w:val="none"/>
        </w:rPr>
        <w:t>3.有依法缴纳税收和社会保障资金的良好记录。</w:t>
      </w:r>
    </w:p>
    <w:p w14:paraId="12A79B22">
      <w:pPr>
        <w:ind w:firstLine="560"/>
        <w:rPr>
          <w:rFonts w:ascii="Times New Roman" w:hAnsi="Times New Roman"/>
          <w:color w:val="auto"/>
          <w:szCs w:val="28"/>
          <w:highlight w:val="none"/>
        </w:rPr>
      </w:pPr>
      <w:r>
        <w:rPr>
          <w:rFonts w:ascii="Times New Roman" w:hAnsi="Times New Roman"/>
          <w:color w:val="auto"/>
          <w:szCs w:val="28"/>
          <w:highlight w:val="none"/>
        </w:rPr>
        <w:t>4</w:t>
      </w:r>
      <w:r>
        <w:rPr>
          <w:rFonts w:hint="eastAsia" w:ascii="Times New Roman" w:hAnsi="Times New Roman"/>
          <w:color w:val="auto"/>
          <w:szCs w:val="28"/>
          <w:highlight w:val="none"/>
        </w:rPr>
        <w:t>.</w:t>
      </w:r>
      <w:r>
        <w:rPr>
          <w:rFonts w:ascii="Times New Roman" w:hAnsi="Times New Roman"/>
          <w:color w:val="auto"/>
          <w:szCs w:val="28"/>
          <w:highlight w:val="none"/>
        </w:rPr>
        <w:t>具有履行合同所必需的设备和专业技术能力。</w:t>
      </w:r>
    </w:p>
    <w:p w14:paraId="42F7155C">
      <w:pPr>
        <w:ind w:firstLine="560"/>
        <w:rPr>
          <w:rFonts w:ascii="Times New Roman" w:hAnsi="Times New Roman"/>
          <w:color w:val="auto"/>
          <w:szCs w:val="28"/>
          <w:highlight w:val="none"/>
        </w:rPr>
      </w:pPr>
      <w:r>
        <w:rPr>
          <w:rFonts w:ascii="Times New Roman" w:hAnsi="Times New Roman"/>
          <w:color w:val="auto"/>
          <w:szCs w:val="28"/>
          <w:highlight w:val="none"/>
        </w:rPr>
        <w:t>5.参加本次比选前三年内，在经营活动中没有重大违法记录。</w:t>
      </w:r>
    </w:p>
    <w:p w14:paraId="1BFB3221">
      <w:pPr>
        <w:ind w:firstLine="560"/>
        <w:rPr>
          <w:rFonts w:ascii="Times New Roman" w:hAnsi="Times New Roman"/>
          <w:color w:val="auto"/>
          <w:szCs w:val="28"/>
          <w:highlight w:val="none"/>
        </w:rPr>
      </w:pPr>
      <w:r>
        <w:rPr>
          <w:rFonts w:ascii="Times New Roman" w:hAnsi="Times New Roman"/>
          <w:color w:val="auto"/>
          <w:szCs w:val="28"/>
          <w:highlight w:val="none"/>
        </w:rPr>
        <w:t>6</w:t>
      </w:r>
      <w:r>
        <w:rPr>
          <w:rFonts w:hint="eastAsia" w:ascii="Times New Roman" w:hAnsi="Times New Roman"/>
          <w:color w:val="auto"/>
          <w:szCs w:val="28"/>
          <w:highlight w:val="none"/>
        </w:rPr>
        <w:t>.</w:t>
      </w:r>
      <w:r>
        <w:rPr>
          <w:rFonts w:ascii="Times New Roman" w:hAnsi="Times New Roman"/>
          <w:color w:val="auto"/>
          <w:szCs w:val="28"/>
          <w:highlight w:val="none"/>
        </w:rPr>
        <w:t>参选人股东非华龙网员工及配偶、员工子女及其配偶。</w:t>
      </w:r>
    </w:p>
    <w:p w14:paraId="0EBEEF50">
      <w:pPr>
        <w:ind w:firstLine="560"/>
        <w:rPr>
          <w:rFonts w:ascii="Times New Roman" w:hAnsi="Times New Roman"/>
          <w:color w:val="auto"/>
          <w:szCs w:val="28"/>
          <w:highlight w:val="none"/>
        </w:rPr>
      </w:pPr>
      <w:r>
        <w:rPr>
          <w:rFonts w:ascii="Times New Roman" w:hAnsi="Times New Roman"/>
          <w:color w:val="auto"/>
          <w:szCs w:val="28"/>
          <w:highlight w:val="none"/>
        </w:rPr>
        <w:t>7.单位负责人为同一人或者存在直接控股、管理关系的不同比选方，不得参加同一合同项（分包）下的比选活动，否则均为无效。</w:t>
      </w:r>
    </w:p>
    <w:p w14:paraId="4DEF82F0">
      <w:pPr>
        <w:ind w:firstLine="560"/>
        <w:rPr>
          <w:rFonts w:ascii="Times New Roman" w:hAnsi="Times New Roman"/>
          <w:color w:val="auto"/>
          <w:szCs w:val="28"/>
          <w:highlight w:val="none"/>
        </w:rPr>
      </w:pPr>
      <w:r>
        <w:rPr>
          <w:rFonts w:ascii="Times New Roman" w:hAnsi="Times New Roman"/>
          <w:color w:val="auto"/>
          <w:szCs w:val="28"/>
          <w:highlight w:val="none"/>
        </w:rPr>
        <w:t>8.诚信声明。</w:t>
      </w:r>
    </w:p>
    <w:p w14:paraId="5FF3D552">
      <w:pPr>
        <w:ind w:firstLine="560"/>
        <w:rPr>
          <w:rFonts w:ascii="Times New Roman" w:hAnsi="Times New Roman"/>
          <w:color w:val="auto"/>
          <w:szCs w:val="28"/>
          <w:highlight w:val="none"/>
        </w:rPr>
      </w:pPr>
      <w:bookmarkStart w:id="21" w:name="_Toc23574"/>
      <w:bookmarkStart w:id="22" w:name="_Toc105081904"/>
      <w:bookmarkStart w:id="23" w:name="_Toc50574137"/>
      <w:r>
        <w:rPr>
          <w:rFonts w:hint="eastAsia" w:ascii="Times New Roman" w:hAnsi="Times New Roman"/>
          <w:color w:val="auto"/>
          <w:szCs w:val="28"/>
          <w:highlight w:val="none"/>
        </w:rPr>
        <w:t>9.法律、行政法规规定的其他条件。</w:t>
      </w:r>
    </w:p>
    <w:p w14:paraId="284B8D06">
      <w:pPr>
        <w:numPr>
          <w:ilvl w:val="255"/>
          <w:numId w:val="0"/>
        </w:numPr>
        <w:ind w:firstLine="200"/>
        <w:jc w:val="left"/>
        <w:rPr>
          <w:rFonts w:ascii="Times New Roman" w:hAnsi="Times New Roman"/>
          <w:color w:val="auto"/>
          <w:szCs w:val="28"/>
          <w:highlight w:val="none"/>
        </w:rPr>
      </w:pPr>
      <w:r>
        <w:rPr>
          <w:rFonts w:ascii="Times New Roman" w:hAnsi="Times New Roman"/>
          <w:color w:val="auto"/>
          <w:szCs w:val="28"/>
          <w:highlight w:val="none"/>
        </w:rPr>
        <w:t>（二）特定资格条件</w:t>
      </w:r>
    </w:p>
    <w:p w14:paraId="2CA4532B">
      <w:pPr>
        <w:ind w:firstLine="560" w:firstLineChars="200"/>
        <w:rPr>
          <w:rFonts w:ascii="Times New Roman" w:hAnsi="Times New Roman"/>
          <w:color w:val="auto"/>
          <w:szCs w:val="28"/>
          <w:highlight w:val="none"/>
        </w:rPr>
      </w:pPr>
      <w:r>
        <w:rPr>
          <w:rFonts w:hint="eastAsia" w:ascii="Times New Roman" w:hAnsi="Times New Roman"/>
          <w:color w:val="auto"/>
          <w:szCs w:val="28"/>
          <w:highlight w:val="none"/>
        </w:rPr>
        <w:t>具有公安部第三研究所认证中心（公安部信息安全等级保护评估中心）颁发的网络安全服务认证证书等级保护测评服务认证（提供有效期内的证书复印件加盖参选人公章）。</w:t>
      </w:r>
    </w:p>
    <w:p w14:paraId="42FA1BC0">
      <w:pPr>
        <w:ind w:firstLine="560" w:firstLineChars="200"/>
        <w:rPr>
          <w:rFonts w:hint="eastAsia" w:ascii="Times New Roman" w:hAnsi="Times New Roman" w:eastAsia="方正黑体_GBK" w:cs="Times New Roman"/>
          <w:color w:val="auto"/>
          <w:sz w:val="28"/>
          <w:szCs w:val="20"/>
          <w:highlight w:val="none"/>
        </w:rPr>
      </w:pPr>
      <w:r>
        <w:rPr>
          <w:rFonts w:hint="eastAsia" w:ascii="Times New Roman" w:hAnsi="Times New Roman" w:eastAsia="方正黑体_GBK" w:cs="Times New Roman"/>
          <w:color w:val="auto"/>
          <w:sz w:val="28"/>
          <w:szCs w:val="20"/>
          <w:highlight w:val="none"/>
        </w:rPr>
        <w:t>四、比选公告发布</w:t>
      </w:r>
    </w:p>
    <w:p w14:paraId="10075D49">
      <w:pPr>
        <w:tabs>
          <w:tab w:val="left" w:pos="6930"/>
        </w:tabs>
        <w:adjustRightInd w:val="0"/>
        <w:snapToGrid w:val="0"/>
        <w:spacing w:line="539" w:lineRule="exact"/>
        <w:ind w:firstLine="560"/>
        <w:outlineLvl w:val="1"/>
        <w:rPr>
          <w:rFonts w:ascii="Times New Roman" w:hAnsi="Times New Roman"/>
          <w:color w:val="auto"/>
          <w:highlight w:val="none"/>
        </w:rPr>
      </w:pPr>
      <w:r>
        <w:rPr>
          <w:rFonts w:ascii="Times New Roman" w:hAnsi="Times New Roman"/>
          <w:color w:val="auto"/>
          <w:highlight w:val="none"/>
        </w:rPr>
        <w:t>1.发布网站：拟在集团（总台）所属重庆华龙网（http://www.cqnews.net）、第1眼app发布比选公告。</w:t>
      </w:r>
    </w:p>
    <w:p w14:paraId="05926668">
      <w:pPr>
        <w:tabs>
          <w:tab w:val="left" w:pos="6930"/>
        </w:tabs>
        <w:adjustRightInd w:val="0"/>
        <w:snapToGrid w:val="0"/>
        <w:ind w:firstLine="560"/>
        <w:outlineLvl w:val="1"/>
        <w:rPr>
          <w:rFonts w:ascii="Times New Roman" w:hAnsi="Times New Roman"/>
          <w:color w:val="auto"/>
          <w:highlight w:val="none"/>
        </w:rPr>
      </w:pPr>
      <w:r>
        <w:rPr>
          <w:rFonts w:ascii="Times New Roman" w:hAnsi="Times New Roman"/>
          <w:color w:val="auto"/>
          <w:highlight w:val="none"/>
        </w:rPr>
        <w:t>2.比选公告发布时间：</w:t>
      </w:r>
      <w:r>
        <w:rPr>
          <w:rFonts w:hint="eastAsia" w:ascii="Times New Roman" w:hAnsi="Times New Roman"/>
          <w:color w:val="auto"/>
          <w:szCs w:val="28"/>
          <w:highlight w:val="none"/>
          <w:lang w:val="en-US" w:eastAsia="zh-CN"/>
        </w:rPr>
        <w:t>2026</w:t>
      </w:r>
      <w:r>
        <w:rPr>
          <w:rFonts w:ascii="Times New Roman" w:hAnsi="Times New Roman"/>
          <w:color w:val="auto"/>
          <w:highlight w:val="none"/>
        </w:rPr>
        <w:t>年</w:t>
      </w:r>
      <w:r>
        <w:rPr>
          <w:rFonts w:hint="eastAsia" w:ascii="Times New Roman" w:hAnsi="Times New Roman"/>
          <w:color w:val="auto"/>
          <w:szCs w:val="28"/>
          <w:highlight w:val="none"/>
          <w:lang w:val="en-US" w:eastAsia="zh-CN"/>
        </w:rPr>
        <w:t>9</w:t>
      </w:r>
      <w:r>
        <w:rPr>
          <w:rFonts w:ascii="Times New Roman" w:hAnsi="Times New Roman"/>
          <w:color w:val="auto"/>
          <w:highlight w:val="none"/>
        </w:rPr>
        <w:t>月</w:t>
      </w:r>
      <w:r>
        <w:rPr>
          <w:rFonts w:hint="eastAsia" w:ascii="Times New Roman" w:hAnsi="Times New Roman"/>
          <w:color w:val="auto"/>
          <w:szCs w:val="28"/>
          <w:highlight w:val="none"/>
          <w:lang w:val="en-US" w:eastAsia="zh-CN"/>
        </w:rPr>
        <w:t>20</w:t>
      </w:r>
      <w:r>
        <w:rPr>
          <w:rFonts w:ascii="Times New Roman" w:hAnsi="Times New Roman"/>
          <w:color w:val="auto"/>
          <w:highlight w:val="none"/>
        </w:rPr>
        <w:t>日</w:t>
      </w:r>
      <w:r>
        <w:rPr>
          <w:rFonts w:hint="eastAsia" w:ascii="Times New Roman" w:hAnsi="Times New Roman"/>
          <w:color w:val="auto"/>
          <w:highlight w:val="none"/>
        </w:rPr>
        <w:t>起3天。</w:t>
      </w:r>
    </w:p>
    <w:p w14:paraId="5C6F4FB0">
      <w:pPr>
        <w:keepNext/>
        <w:keepLines/>
        <w:adjustRightInd w:val="0"/>
        <w:snapToGrid w:val="0"/>
        <w:ind w:firstLine="560" w:firstLineChars="0"/>
        <w:jc w:val="left"/>
        <w:outlineLvl w:val="1"/>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五、</w:t>
      </w:r>
      <w:r>
        <w:rPr>
          <w:rFonts w:ascii="Times New Roman" w:hAnsi="Times New Roman" w:eastAsia="方正黑体_GBK"/>
          <w:color w:val="auto"/>
          <w:szCs w:val="20"/>
          <w:highlight w:val="none"/>
        </w:rPr>
        <w:t>比选文件的获取及报名</w:t>
      </w:r>
    </w:p>
    <w:p w14:paraId="3550FDB6">
      <w:pPr>
        <w:ind w:firstLine="560"/>
        <w:rPr>
          <w:rFonts w:ascii="Times New Roman" w:hAnsi="Times New Roman"/>
          <w:color w:val="auto"/>
          <w:highlight w:val="none"/>
        </w:rPr>
      </w:pPr>
      <w:r>
        <w:rPr>
          <w:rFonts w:ascii="Times New Roman" w:hAnsi="Times New Roman"/>
          <w:color w:val="auto"/>
          <w:highlight w:val="none"/>
        </w:rPr>
        <w:t>1.报名时间</w:t>
      </w:r>
      <w:r>
        <w:rPr>
          <w:rFonts w:hint="eastAsia" w:ascii="Times New Roman" w:hAnsi="Times New Roman"/>
          <w:color w:val="auto"/>
          <w:highlight w:val="none"/>
        </w:rPr>
        <w:t>：</w:t>
      </w:r>
      <w:r>
        <w:rPr>
          <w:rFonts w:hint="eastAsia" w:ascii="Times New Roman" w:hAnsi="Times New Roman"/>
          <w:color w:val="auto"/>
          <w:szCs w:val="28"/>
          <w:highlight w:val="none"/>
          <w:lang w:val="en-US" w:eastAsia="zh-CN"/>
        </w:rPr>
        <w:t>2026</w:t>
      </w:r>
      <w:r>
        <w:rPr>
          <w:rFonts w:ascii="Times New Roman" w:hAnsi="Times New Roman"/>
          <w:color w:val="auto"/>
          <w:highlight w:val="none"/>
        </w:rPr>
        <w:t>年</w:t>
      </w:r>
      <w:r>
        <w:rPr>
          <w:rFonts w:hint="eastAsia" w:ascii="Times New Roman" w:hAnsi="Times New Roman"/>
          <w:color w:val="auto"/>
          <w:szCs w:val="28"/>
          <w:highlight w:val="none"/>
          <w:lang w:val="en-US" w:eastAsia="zh-CN"/>
        </w:rPr>
        <w:t>9</w:t>
      </w:r>
      <w:r>
        <w:rPr>
          <w:rFonts w:ascii="Times New Roman" w:hAnsi="Times New Roman"/>
          <w:color w:val="auto"/>
          <w:highlight w:val="none"/>
        </w:rPr>
        <w:t>月</w:t>
      </w:r>
      <w:r>
        <w:rPr>
          <w:rFonts w:hint="eastAsia" w:ascii="Times New Roman" w:hAnsi="Times New Roman"/>
          <w:color w:val="auto"/>
          <w:szCs w:val="28"/>
          <w:highlight w:val="none"/>
          <w:lang w:val="en-US" w:eastAsia="zh-CN"/>
        </w:rPr>
        <w:t>20</w:t>
      </w:r>
      <w:r>
        <w:rPr>
          <w:rFonts w:ascii="Times New Roman" w:hAnsi="Times New Roman"/>
          <w:color w:val="auto"/>
          <w:highlight w:val="none"/>
        </w:rPr>
        <w:t>日至</w:t>
      </w:r>
      <w:r>
        <w:rPr>
          <w:rFonts w:hint="eastAsia" w:ascii="Times New Roman" w:hAnsi="Times New Roman"/>
          <w:color w:val="auto"/>
          <w:szCs w:val="28"/>
          <w:highlight w:val="none"/>
          <w:lang w:val="en-US" w:eastAsia="zh-CN"/>
        </w:rPr>
        <w:t>2026</w:t>
      </w:r>
      <w:r>
        <w:rPr>
          <w:rFonts w:hint="eastAsia" w:ascii="Times New Roman" w:hAnsi="Times New Roman"/>
          <w:color w:val="auto"/>
          <w:highlight w:val="none"/>
        </w:rPr>
        <w:t>年</w:t>
      </w:r>
      <w:r>
        <w:rPr>
          <w:rFonts w:hint="eastAsia" w:ascii="Times New Roman" w:hAnsi="Times New Roman"/>
          <w:color w:val="auto"/>
          <w:szCs w:val="28"/>
          <w:highlight w:val="none"/>
          <w:lang w:val="en-US" w:eastAsia="zh-CN"/>
        </w:rPr>
        <w:t>9</w:t>
      </w:r>
      <w:r>
        <w:rPr>
          <w:rFonts w:ascii="Times New Roman" w:hAnsi="Times New Roman"/>
          <w:color w:val="auto"/>
          <w:highlight w:val="none"/>
        </w:rPr>
        <w:t>月</w:t>
      </w:r>
      <w:r>
        <w:rPr>
          <w:rFonts w:hint="eastAsia" w:ascii="Times New Roman" w:hAnsi="Times New Roman"/>
          <w:color w:val="auto"/>
          <w:szCs w:val="28"/>
          <w:highlight w:val="none"/>
          <w:lang w:val="en-US" w:eastAsia="zh-CN"/>
        </w:rPr>
        <w:t>23</w:t>
      </w:r>
      <w:r>
        <w:rPr>
          <w:rFonts w:ascii="Times New Roman" w:hAnsi="Times New Roman"/>
          <w:color w:val="auto"/>
          <w:highlight w:val="none"/>
        </w:rPr>
        <w:t>日</w:t>
      </w:r>
      <w:r>
        <w:rPr>
          <w:rFonts w:hint="eastAsia" w:ascii="Times New Roman" w:hAnsi="Times New Roman"/>
          <w:color w:val="auto"/>
          <w:szCs w:val="28"/>
          <w:highlight w:val="none"/>
          <w:lang w:val="en-US" w:eastAsia="zh-CN"/>
        </w:rPr>
        <w:t>17</w:t>
      </w:r>
      <w:r>
        <w:rPr>
          <w:rFonts w:hint="eastAsia" w:ascii="Times New Roman" w:hAnsi="Times New Roman"/>
          <w:color w:val="auto"/>
          <w:szCs w:val="28"/>
          <w:highlight w:val="none"/>
        </w:rPr>
        <w:t>时。</w:t>
      </w:r>
    </w:p>
    <w:p w14:paraId="7F2202BC">
      <w:pPr>
        <w:ind w:firstLine="560"/>
        <w:rPr>
          <w:rFonts w:ascii="Times New Roman" w:hAnsi="Times New Roman"/>
          <w:color w:val="auto"/>
          <w:highlight w:val="none"/>
        </w:rPr>
      </w:pPr>
      <w:r>
        <w:rPr>
          <w:rFonts w:ascii="Times New Roman" w:hAnsi="Times New Roman"/>
          <w:color w:val="auto"/>
          <w:highlight w:val="none"/>
        </w:rPr>
        <w:t>2.报名及获取方式：拟参与</w:t>
      </w:r>
      <w:r>
        <w:rPr>
          <w:rFonts w:hint="eastAsia" w:ascii="Times New Roman" w:hAnsi="Times New Roman"/>
          <w:color w:val="auto"/>
          <w:highlight w:val="none"/>
        </w:rPr>
        <w:t>报名</w:t>
      </w:r>
      <w:r>
        <w:rPr>
          <w:rFonts w:ascii="Times New Roman" w:hAnsi="Times New Roman"/>
          <w:color w:val="auto"/>
          <w:highlight w:val="none"/>
        </w:rPr>
        <w:t>比选的</w:t>
      </w:r>
      <w:r>
        <w:rPr>
          <w:rFonts w:hint="eastAsia" w:ascii="Times New Roman" w:hAnsi="Times New Roman"/>
          <w:color w:val="auto"/>
          <w:highlight w:val="none"/>
        </w:rPr>
        <w:t>参选人在</w:t>
      </w:r>
      <w:r>
        <w:rPr>
          <w:rFonts w:ascii="Times New Roman" w:hAnsi="Times New Roman"/>
          <w:color w:val="auto"/>
          <w:highlight w:val="none"/>
        </w:rPr>
        <w:t>重庆华龙网（http://www.cqnews.net）首页下载比选文件。同时需在比选报名截止时间前将参选人法定代表人身份证明书原件扫描件、法定代表人授权委托书原件扫描件、营业执照副本扫描件</w:t>
      </w:r>
      <w:r>
        <w:rPr>
          <w:rFonts w:hint="eastAsia" w:ascii="Times New Roman" w:hAnsi="Times New Roman"/>
          <w:color w:val="auto"/>
          <w:highlight w:val="none"/>
        </w:rPr>
        <w:t>，均</w:t>
      </w:r>
      <w:r>
        <w:rPr>
          <w:rFonts w:ascii="Times New Roman" w:hAnsi="Times New Roman"/>
          <w:color w:val="auto"/>
          <w:highlight w:val="none"/>
        </w:rPr>
        <w:t>加盖参选人公章发至邮箱hlwjgb@cqnews.net，方被视为报名成功。</w:t>
      </w:r>
    </w:p>
    <w:p w14:paraId="56CFDB69">
      <w:pPr>
        <w:ind w:firstLine="560"/>
        <w:rPr>
          <w:rFonts w:ascii="Times New Roman" w:hAnsi="Times New Roman"/>
          <w:color w:val="auto"/>
          <w:highlight w:val="none"/>
        </w:rPr>
      </w:pPr>
      <w:r>
        <w:rPr>
          <w:rFonts w:ascii="Times New Roman" w:hAnsi="Times New Roman"/>
          <w:color w:val="auto"/>
          <w:highlight w:val="none"/>
        </w:rPr>
        <w:t>3.参选人在比选</w:t>
      </w:r>
      <w:r>
        <w:rPr>
          <w:rFonts w:hint="eastAsia" w:ascii="Times New Roman" w:hAnsi="Times New Roman"/>
          <w:color w:val="auto"/>
          <w:highlight w:val="none"/>
        </w:rPr>
        <w:t>报名期</w:t>
      </w:r>
      <w:r>
        <w:rPr>
          <w:rFonts w:ascii="Times New Roman" w:hAnsi="Times New Roman"/>
          <w:color w:val="auto"/>
          <w:highlight w:val="none"/>
        </w:rPr>
        <w:t>内报名，其参选文件才被接收。</w:t>
      </w:r>
    </w:p>
    <w:bookmarkEnd w:id="7"/>
    <w:bookmarkEnd w:id="21"/>
    <w:bookmarkEnd w:id="22"/>
    <w:bookmarkEnd w:id="23"/>
    <w:p w14:paraId="7F212162">
      <w:pPr>
        <w:keepNext/>
        <w:keepLines/>
        <w:adjustRightInd w:val="0"/>
        <w:snapToGrid w:val="0"/>
        <w:ind w:firstLine="560" w:firstLineChars="0"/>
        <w:jc w:val="left"/>
        <w:outlineLvl w:val="1"/>
        <w:rPr>
          <w:rFonts w:ascii="Times New Roman" w:hAnsi="Times New Roman" w:eastAsia="方正黑体_GBK"/>
          <w:color w:val="auto"/>
          <w:szCs w:val="28"/>
          <w:highlight w:val="none"/>
        </w:rPr>
      </w:pPr>
      <w:bookmarkStart w:id="24" w:name="_Toc19219"/>
      <w:bookmarkStart w:id="25" w:name="_Toc32118"/>
      <w:bookmarkStart w:id="26" w:name="_Toc4400"/>
      <w:bookmarkStart w:id="27" w:name="_Toc105081906"/>
      <w:bookmarkStart w:id="28" w:name="_Toc4175"/>
      <w:bookmarkStart w:id="29" w:name="_Toc466546910"/>
      <w:bookmarkStart w:id="30" w:name="_Toc18645"/>
      <w:r>
        <w:rPr>
          <w:rFonts w:hint="eastAsia" w:ascii="Times New Roman" w:hAnsi="Times New Roman" w:eastAsia="方正黑体_GBK"/>
          <w:color w:val="auto"/>
          <w:szCs w:val="28"/>
          <w:highlight w:val="none"/>
        </w:rPr>
        <w:t>六</w:t>
      </w:r>
      <w:r>
        <w:rPr>
          <w:rFonts w:hint="eastAsia" w:ascii="Times New Roman" w:hAnsi="Times New Roman" w:eastAsia="方正黑体_GBK"/>
          <w:color w:val="auto"/>
          <w:szCs w:val="20"/>
          <w:highlight w:val="none"/>
        </w:rPr>
        <w:t>、</w:t>
      </w:r>
      <w:r>
        <w:rPr>
          <w:rFonts w:ascii="Times New Roman" w:hAnsi="Times New Roman" w:eastAsia="方正黑体_GBK"/>
          <w:color w:val="auto"/>
          <w:szCs w:val="20"/>
          <w:highlight w:val="none"/>
        </w:rPr>
        <w:t>比选</w:t>
      </w:r>
      <w:r>
        <w:rPr>
          <w:rFonts w:ascii="Times New Roman" w:hAnsi="Times New Roman" w:eastAsia="方正黑体_GBK"/>
          <w:color w:val="auto"/>
          <w:szCs w:val="28"/>
          <w:highlight w:val="none"/>
        </w:rPr>
        <w:t>文件递送截止时间及地点</w:t>
      </w:r>
    </w:p>
    <w:p w14:paraId="350AAF6D">
      <w:pPr>
        <w:pStyle w:val="32"/>
        <w:numPr>
          <w:ilvl w:val="255"/>
          <w:numId w:val="0"/>
        </w:numPr>
        <w:ind w:firstLine="560" w:firstLineChars="200"/>
        <w:rPr>
          <w:rFonts w:ascii="Times New Roman" w:hAnsi="Times New Roman"/>
          <w:color w:val="auto"/>
          <w:spacing w:val="-6"/>
          <w:szCs w:val="28"/>
          <w:highlight w:val="none"/>
        </w:rPr>
      </w:pPr>
      <w:bookmarkStart w:id="31" w:name="_Toc67494197"/>
      <w:bookmarkStart w:id="32" w:name="_Toc26846"/>
      <w:bookmarkStart w:id="33" w:name="_Toc105081903"/>
      <w:r>
        <w:rPr>
          <w:rFonts w:hint="eastAsia" w:ascii="Times New Roman" w:hAnsi="Times New Roman"/>
          <w:color w:val="auto"/>
          <w:szCs w:val="28"/>
          <w:highlight w:val="none"/>
        </w:rPr>
        <w:t>1</w:t>
      </w:r>
      <w:r>
        <w:rPr>
          <w:rFonts w:ascii="Times New Roman" w:hAnsi="Times New Roman"/>
          <w:color w:val="auto"/>
          <w:szCs w:val="28"/>
          <w:highlight w:val="none"/>
        </w:rPr>
        <w:t>.文件</w:t>
      </w:r>
      <w:r>
        <w:rPr>
          <w:rFonts w:ascii="Times New Roman" w:hAnsi="Times New Roman"/>
          <w:color w:val="auto"/>
          <w:spacing w:val="-6"/>
          <w:szCs w:val="28"/>
          <w:highlight w:val="none"/>
        </w:rPr>
        <w:t>递送截止时间：</w:t>
      </w:r>
      <w:r>
        <w:rPr>
          <w:rFonts w:hint="eastAsia" w:ascii="Times New Roman" w:hAnsi="Times New Roman"/>
          <w:color w:val="auto"/>
          <w:spacing w:val="-6"/>
          <w:szCs w:val="28"/>
          <w:highlight w:val="none"/>
          <w:lang w:val="en-US" w:eastAsia="zh-CN"/>
        </w:rPr>
        <w:t>2026</w:t>
      </w:r>
      <w:r>
        <w:rPr>
          <w:rFonts w:ascii="Times New Roman" w:hAnsi="Times New Roman"/>
          <w:color w:val="auto"/>
          <w:highlight w:val="none"/>
        </w:rPr>
        <w:t>年</w:t>
      </w:r>
      <w:r>
        <w:rPr>
          <w:rFonts w:hint="eastAsia" w:ascii="Times New Roman" w:hAnsi="Times New Roman"/>
          <w:color w:val="auto"/>
          <w:highlight w:val="none"/>
          <w:lang w:val="en-US" w:eastAsia="zh-CN"/>
        </w:rPr>
        <w:t>9</w:t>
      </w:r>
      <w:r>
        <w:rPr>
          <w:rFonts w:ascii="Times New Roman" w:hAnsi="Times New Roman"/>
          <w:color w:val="auto"/>
          <w:highlight w:val="none"/>
        </w:rPr>
        <w:t>月</w:t>
      </w:r>
      <w:r>
        <w:rPr>
          <w:rFonts w:hint="eastAsia" w:ascii="Times New Roman" w:hAnsi="Times New Roman"/>
          <w:color w:val="auto"/>
          <w:highlight w:val="none"/>
          <w:lang w:val="en-US" w:eastAsia="zh-CN"/>
        </w:rPr>
        <w:t>28</w:t>
      </w:r>
      <w:r>
        <w:rPr>
          <w:rFonts w:ascii="Times New Roman" w:hAnsi="Times New Roman"/>
          <w:color w:val="auto"/>
          <w:highlight w:val="none"/>
        </w:rPr>
        <w:t>日</w:t>
      </w:r>
      <w:r>
        <w:rPr>
          <w:rFonts w:hint="eastAsia" w:ascii="Times New Roman" w:hAnsi="Times New Roman"/>
          <w:color w:val="auto"/>
          <w:highlight w:val="none"/>
          <w:lang w:val="en-US" w:eastAsia="zh-CN"/>
        </w:rPr>
        <w:t>14</w:t>
      </w:r>
      <w:r>
        <w:rPr>
          <w:rFonts w:ascii="Times New Roman" w:hAnsi="Times New Roman"/>
          <w:color w:val="auto"/>
          <w:spacing w:val="-6"/>
          <w:szCs w:val="28"/>
          <w:highlight w:val="none"/>
        </w:rPr>
        <w:t>时</w:t>
      </w:r>
      <w:r>
        <w:rPr>
          <w:rFonts w:hint="eastAsia" w:ascii="Times New Roman" w:hAnsi="Times New Roman"/>
          <w:color w:val="auto"/>
          <w:spacing w:val="-6"/>
          <w:szCs w:val="28"/>
          <w:highlight w:val="none"/>
          <w:lang w:val="en-US" w:eastAsia="zh-CN"/>
        </w:rPr>
        <w:t>45</w:t>
      </w:r>
      <w:r>
        <w:rPr>
          <w:rFonts w:hint="eastAsia" w:ascii="Times New Roman" w:hAnsi="Times New Roman"/>
          <w:color w:val="auto"/>
          <w:spacing w:val="-6"/>
          <w:szCs w:val="28"/>
          <w:highlight w:val="none"/>
        </w:rPr>
        <w:t>分</w:t>
      </w:r>
      <w:r>
        <w:rPr>
          <w:rFonts w:ascii="Times New Roman" w:hAnsi="Times New Roman"/>
          <w:color w:val="auto"/>
          <w:spacing w:val="-6"/>
          <w:szCs w:val="28"/>
          <w:highlight w:val="none"/>
        </w:rPr>
        <w:t>（北京时间）。</w:t>
      </w:r>
    </w:p>
    <w:p w14:paraId="75F8C821">
      <w:pPr>
        <w:pStyle w:val="32"/>
        <w:numPr>
          <w:ilvl w:val="255"/>
          <w:numId w:val="0"/>
        </w:numPr>
        <w:tabs>
          <w:tab w:val="center" w:pos="4535"/>
        </w:tabs>
        <w:snapToGrid w:val="0"/>
        <w:ind w:firstLine="560" w:firstLineChars="200"/>
        <w:rPr>
          <w:rFonts w:ascii="Times New Roman" w:hAnsi="Times New Roman"/>
          <w:color w:val="auto"/>
          <w:szCs w:val="28"/>
          <w:highlight w:val="none"/>
        </w:rPr>
      </w:pPr>
      <w:r>
        <w:rPr>
          <w:rFonts w:hint="eastAsia" w:ascii="Times New Roman" w:hAnsi="Times New Roman"/>
          <w:color w:val="auto"/>
          <w:szCs w:val="28"/>
          <w:highlight w:val="none"/>
        </w:rPr>
        <w:t>2.</w:t>
      </w:r>
      <w:r>
        <w:rPr>
          <w:rFonts w:ascii="Times New Roman" w:hAnsi="Times New Roman"/>
          <w:color w:val="auto"/>
          <w:szCs w:val="28"/>
          <w:highlight w:val="none"/>
        </w:rPr>
        <w:t>文件递送地点：</w:t>
      </w:r>
      <w:r>
        <w:rPr>
          <w:rFonts w:hint="eastAsia" w:ascii="Times New Roman" w:hAnsi="Times New Roman"/>
          <w:color w:val="auto"/>
          <w:szCs w:val="28"/>
          <w:highlight w:val="none"/>
        </w:rPr>
        <w:t>重庆市两江新区金开大道西段106号互联网产业园10栋</w:t>
      </w:r>
      <w:r>
        <w:rPr>
          <w:rFonts w:ascii="Times New Roman" w:hAnsi="Times New Roman"/>
          <w:color w:val="auto"/>
          <w:szCs w:val="28"/>
          <w:highlight w:val="none"/>
        </w:rPr>
        <w:t>8</w:t>
      </w:r>
      <w:r>
        <w:rPr>
          <w:rFonts w:hint="eastAsia" w:ascii="Times New Roman" w:hAnsi="Times New Roman"/>
          <w:color w:val="auto"/>
          <w:szCs w:val="28"/>
          <w:highlight w:val="none"/>
        </w:rPr>
        <w:t>楼8</w:t>
      </w:r>
      <w:r>
        <w:rPr>
          <w:rFonts w:ascii="Times New Roman" w:hAnsi="Times New Roman"/>
          <w:color w:val="auto"/>
          <w:szCs w:val="28"/>
          <w:highlight w:val="none"/>
        </w:rPr>
        <w:t>14</w:t>
      </w:r>
      <w:r>
        <w:rPr>
          <w:rFonts w:hint="eastAsia" w:ascii="Times New Roman" w:hAnsi="Times New Roman"/>
          <w:color w:val="auto"/>
          <w:szCs w:val="28"/>
          <w:highlight w:val="none"/>
        </w:rPr>
        <w:t>会议室。</w:t>
      </w:r>
    </w:p>
    <w:p w14:paraId="64228A87">
      <w:pPr>
        <w:pStyle w:val="32"/>
        <w:numPr>
          <w:ilvl w:val="255"/>
          <w:numId w:val="0"/>
        </w:numPr>
        <w:tabs>
          <w:tab w:val="center" w:pos="4535"/>
        </w:tabs>
        <w:snapToGrid w:val="0"/>
        <w:ind w:firstLine="560" w:firstLineChars="200"/>
        <w:rPr>
          <w:rFonts w:ascii="Times New Roman" w:hAnsi="Times New Roman"/>
          <w:color w:val="auto"/>
          <w:szCs w:val="28"/>
          <w:highlight w:val="none"/>
        </w:rPr>
      </w:pPr>
      <w:r>
        <w:rPr>
          <w:rFonts w:hint="eastAsia" w:ascii="Times New Roman" w:hAnsi="Times New Roman"/>
          <w:color w:val="auto"/>
          <w:szCs w:val="28"/>
          <w:highlight w:val="none"/>
        </w:rPr>
        <w:t>3</w:t>
      </w:r>
      <w:r>
        <w:rPr>
          <w:rFonts w:ascii="Times New Roman" w:hAnsi="Times New Roman"/>
          <w:color w:val="auto"/>
          <w:szCs w:val="28"/>
          <w:highlight w:val="none"/>
        </w:rPr>
        <w:t>.</w:t>
      </w:r>
      <w:r>
        <w:rPr>
          <w:rFonts w:hint="eastAsia" w:ascii="Times New Roman" w:hAnsi="Times New Roman"/>
          <w:color w:val="auto"/>
          <w:szCs w:val="28"/>
          <w:highlight w:val="none"/>
        </w:rPr>
        <w:t>比选</w:t>
      </w:r>
      <w:r>
        <w:rPr>
          <w:rFonts w:ascii="Times New Roman" w:hAnsi="Times New Roman"/>
          <w:color w:val="auto"/>
          <w:szCs w:val="28"/>
          <w:highlight w:val="none"/>
        </w:rPr>
        <w:t>时间：</w:t>
      </w:r>
      <w:r>
        <w:rPr>
          <w:rFonts w:hint="eastAsia" w:ascii="Times New Roman" w:hAnsi="Times New Roman"/>
          <w:color w:val="auto"/>
          <w:spacing w:val="-6"/>
          <w:szCs w:val="28"/>
          <w:highlight w:val="none"/>
          <w:lang w:val="en-US" w:eastAsia="zh-CN"/>
        </w:rPr>
        <w:t>2026</w:t>
      </w:r>
      <w:r>
        <w:rPr>
          <w:rFonts w:ascii="Times New Roman" w:hAnsi="Times New Roman"/>
          <w:color w:val="auto"/>
          <w:highlight w:val="none"/>
        </w:rPr>
        <w:t>年</w:t>
      </w:r>
      <w:r>
        <w:rPr>
          <w:rFonts w:hint="eastAsia" w:ascii="Times New Roman" w:hAnsi="Times New Roman"/>
          <w:color w:val="auto"/>
          <w:highlight w:val="none"/>
          <w:lang w:val="en-US" w:eastAsia="zh-CN"/>
        </w:rPr>
        <w:t>9</w:t>
      </w:r>
      <w:r>
        <w:rPr>
          <w:rFonts w:ascii="Times New Roman" w:hAnsi="Times New Roman"/>
          <w:color w:val="auto"/>
          <w:highlight w:val="none"/>
        </w:rPr>
        <w:t>月</w:t>
      </w:r>
      <w:r>
        <w:rPr>
          <w:rFonts w:hint="eastAsia" w:ascii="Times New Roman" w:hAnsi="Times New Roman"/>
          <w:color w:val="auto"/>
          <w:highlight w:val="none"/>
          <w:lang w:val="en-US" w:eastAsia="zh-CN"/>
        </w:rPr>
        <w:t>28</w:t>
      </w:r>
      <w:r>
        <w:rPr>
          <w:rFonts w:ascii="Times New Roman" w:hAnsi="Times New Roman"/>
          <w:color w:val="auto"/>
          <w:highlight w:val="none"/>
        </w:rPr>
        <w:t>日</w:t>
      </w:r>
      <w:r>
        <w:rPr>
          <w:rFonts w:hint="eastAsia" w:ascii="Times New Roman" w:hAnsi="Times New Roman"/>
          <w:color w:val="auto"/>
          <w:highlight w:val="none"/>
          <w:lang w:val="en-US" w:eastAsia="zh-CN"/>
        </w:rPr>
        <w:t>14</w:t>
      </w:r>
      <w:r>
        <w:rPr>
          <w:rFonts w:ascii="Times New Roman" w:hAnsi="Times New Roman"/>
          <w:color w:val="auto"/>
          <w:spacing w:val="-6"/>
          <w:szCs w:val="28"/>
          <w:highlight w:val="none"/>
        </w:rPr>
        <w:t>时</w:t>
      </w:r>
      <w:r>
        <w:rPr>
          <w:rFonts w:hint="eastAsia" w:ascii="Times New Roman" w:hAnsi="Times New Roman"/>
          <w:color w:val="auto"/>
          <w:spacing w:val="-6"/>
          <w:szCs w:val="28"/>
          <w:highlight w:val="none"/>
          <w:lang w:val="en-US" w:eastAsia="zh-CN"/>
        </w:rPr>
        <w:t>45</w:t>
      </w:r>
      <w:r>
        <w:rPr>
          <w:rFonts w:hint="eastAsia" w:ascii="Times New Roman" w:hAnsi="Times New Roman"/>
          <w:color w:val="auto"/>
          <w:spacing w:val="-6"/>
          <w:szCs w:val="28"/>
          <w:highlight w:val="none"/>
        </w:rPr>
        <w:t>分</w:t>
      </w:r>
      <w:r>
        <w:rPr>
          <w:rFonts w:ascii="Times New Roman" w:hAnsi="Times New Roman"/>
          <w:color w:val="auto"/>
          <w:szCs w:val="28"/>
          <w:highlight w:val="none"/>
        </w:rPr>
        <w:t>（北京时间）。</w:t>
      </w:r>
    </w:p>
    <w:p w14:paraId="1C2956A7">
      <w:pPr>
        <w:pStyle w:val="32"/>
        <w:numPr>
          <w:ilvl w:val="255"/>
          <w:numId w:val="0"/>
        </w:numPr>
        <w:tabs>
          <w:tab w:val="center" w:pos="4535"/>
        </w:tabs>
        <w:snapToGrid w:val="0"/>
        <w:ind w:firstLine="560" w:firstLineChars="200"/>
        <w:rPr>
          <w:rFonts w:ascii="Times New Roman" w:hAnsi="Times New Roman"/>
          <w:color w:val="auto"/>
          <w:szCs w:val="28"/>
          <w:highlight w:val="none"/>
        </w:rPr>
      </w:pPr>
      <w:r>
        <w:rPr>
          <w:rFonts w:hint="eastAsia" w:ascii="Times New Roman" w:hAnsi="Times New Roman"/>
          <w:color w:val="auto"/>
          <w:szCs w:val="28"/>
          <w:highlight w:val="none"/>
        </w:rPr>
        <w:t>4</w:t>
      </w:r>
      <w:r>
        <w:rPr>
          <w:rFonts w:ascii="Times New Roman" w:hAnsi="Times New Roman"/>
          <w:color w:val="auto"/>
          <w:szCs w:val="28"/>
          <w:highlight w:val="none"/>
        </w:rPr>
        <w:t>.</w:t>
      </w:r>
      <w:r>
        <w:rPr>
          <w:rFonts w:hint="eastAsia" w:ascii="Times New Roman" w:hAnsi="Times New Roman"/>
          <w:color w:val="auto"/>
          <w:szCs w:val="28"/>
          <w:highlight w:val="none"/>
        </w:rPr>
        <w:t>比</w:t>
      </w:r>
      <w:r>
        <w:rPr>
          <w:rFonts w:ascii="Times New Roman" w:hAnsi="Times New Roman"/>
          <w:color w:val="auto"/>
          <w:szCs w:val="28"/>
          <w:highlight w:val="none"/>
        </w:rPr>
        <w:t>选地点：</w:t>
      </w:r>
      <w:r>
        <w:rPr>
          <w:rFonts w:hint="eastAsia" w:ascii="Times New Roman" w:hAnsi="Times New Roman"/>
          <w:color w:val="auto"/>
          <w:szCs w:val="28"/>
          <w:highlight w:val="none"/>
        </w:rPr>
        <w:t>重庆市两江新区金开大道西段106号互联网产业园10栋</w:t>
      </w:r>
      <w:r>
        <w:rPr>
          <w:rFonts w:ascii="Times New Roman" w:hAnsi="Times New Roman"/>
          <w:color w:val="auto"/>
          <w:szCs w:val="28"/>
          <w:highlight w:val="none"/>
        </w:rPr>
        <w:t>8</w:t>
      </w:r>
      <w:r>
        <w:rPr>
          <w:rFonts w:hint="eastAsia" w:ascii="Times New Roman" w:hAnsi="Times New Roman"/>
          <w:color w:val="auto"/>
          <w:szCs w:val="28"/>
          <w:highlight w:val="none"/>
        </w:rPr>
        <w:t>楼8</w:t>
      </w:r>
      <w:r>
        <w:rPr>
          <w:rFonts w:ascii="Times New Roman" w:hAnsi="Times New Roman"/>
          <w:color w:val="auto"/>
          <w:szCs w:val="28"/>
          <w:highlight w:val="none"/>
        </w:rPr>
        <w:t>14</w:t>
      </w:r>
      <w:r>
        <w:rPr>
          <w:rFonts w:hint="eastAsia" w:ascii="Times New Roman" w:hAnsi="Times New Roman"/>
          <w:color w:val="auto"/>
          <w:szCs w:val="28"/>
          <w:highlight w:val="none"/>
        </w:rPr>
        <w:t>会议室</w:t>
      </w:r>
      <w:r>
        <w:rPr>
          <w:rFonts w:ascii="Times New Roman" w:hAnsi="Times New Roman"/>
          <w:color w:val="auto"/>
          <w:szCs w:val="28"/>
          <w:highlight w:val="none"/>
        </w:rPr>
        <w:t>。</w:t>
      </w:r>
    </w:p>
    <w:p w14:paraId="78EE16F0">
      <w:pPr>
        <w:keepNext/>
        <w:keepLines/>
        <w:adjustRightInd w:val="0"/>
        <w:snapToGrid w:val="0"/>
        <w:ind w:firstLine="560"/>
        <w:jc w:val="left"/>
        <w:outlineLvl w:val="1"/>
        <w:rPr>
          <w:rFonts w:ascii="Times New Roman" w:hAnsi="Times New Roman" w:eastAsia="方正黑体_GBK"/>
          <w:color w:val="auto"/>
          <w:szCs w:val="20"/>
          <w:highlight w:val="none"/>
        </w:rPr>
      </w:pPr>
      <w:r>
        <w:rPr>
          <w:rFonts w:ascii="Times New Roman" w:hAnsi="Times New Roman" w:eastAsia="方正黑体_GBK"/>
          <w:color w:val="auto"/>
          <w:szCs w:val="20"/>
          <w:highlight w:val="none"/>
        </w:rPr>
        <w:t>七、比选有关规定</w:t>
      </w:r>
      <w:bookmarkEnd w:id="31"/>
      <w:bookmarkEnd w:id="32"/>
      <w:bookmarkEnd w:id="33"/>
    </w:p>
    <w:p w14:paraId="60F2DFF5">
      <w:pPr>
        <w:ind w:firstLine="560"/>
        <w:rPr>
          <w:rFonts w:ascii="Times New Roman" w:hAnsi="Times New Roman"/>
          <w:color w:val="auto"/>
          <w:highlight w:val="none"/>
        </w:rPr>
      </w:pPr>
      <w:r>
        <w:rPr>
          <w:rFonts w:ascii="Times New Roman" w:hAnsi="Times New Roman"/>
          <w:color w:val="auto"/>
          <w:highlight w:val="none"/>
        </w:rPr>
        <w:t>（一）本项目在比选截止时间前发布的比选文件及更正文件（如果有）一律通过电子邮件形式发放，请各参选人注意下载；无论参选人下载与否，均视同参选人已知晓本项目比选文件、更正文件（如果有）的内容。</w:t>
      </w:r>
    </w:p>
    <w:p w14:paraId="6086B40F">
      <w:pPr>
        <w:ind w:firstLine="560"/>
        <w:rPr>
          <w:rFonts w:ascii="Times New Roman" w:hAnsi="Times New Roman"/>
          <w:color w:val="auto"/>
          <w:highlight w:val="none"/>
        </w:rPr>
      </w:pPr>
      <w:r>
        <w:rPr>
          <w:rFonts w:ascii="Times New Roman" w:hAnsi="Times New Roman"/>
          <w:color w:val="auto"/>
          <w:highlight w:val="none"/>
        </w:rPr>
        <w:t>（</w:t>
      </w:r>
      <w:r>
        <w:rPr>
          <w:rFonts w:hint="eastAsia" w:ascii="Times New Roman" w:hAnsi="Times New Roman"/>
          <w:color w:val="auto"/>
          <w:highlight w:val="none"/>
        </w:rPr>
        <w:t>二</w:t>
      </w:r>
      <w:r>
        <w:rPr>
          <w:rFonts w:ascii="Times New Roman" w:hAnsi="Times New Roman"/>
          <w:color w:val="auto"/>
          <w:highlight w:val="none"/>
        </w:rPr>
        <w:t>）超过比选截止时间递交的参选文件，恕不接收。</w:t>
      </w:r>
    </w:p>
    <w:p w14:paraId="2AB69F88">
      <w:pPr>
        <w:ind w:firstLine="560"/>
        <w:rPr>
          <w:rFonts w:ascii="Times New Roman" w:hAnsi="Times New Roman"/>
          <w:color w:val="auto"/>
          <w:highlight w:val="none"/>
        </w:rPr>
      </w:pPr>
      <w:r>
        <w:rPr>
          <w:rFonts w:ascii="Times New Roman" w:hAnsi="Times New Roman"/>
          <w:color w:val="auto"/>
          <w:highlight w:val="none"/>
        </w:rPr>
        <w:t>（</w:t>
      </w:r>
      <w:r>
        <w:rPr>
          <w:rFonts w:hint="eastAsia" w:ascii="Times New Roman" w:hAnsi="Times New Roman"/>
          <w:color w:val="auto"/>
          <w:highlight w:val="none"/>
        </w:rPr>
        <w:t>三</w:t>
      </w:r>
      <w:r>
        <w:rPr>
          <w:rFonts w:ascii="Times New Roman" w:hAnsi="Times New Roman"/>
          <w:color w:val="auto"/>
          <w:highlight w:val="none"/>
        </w:rPr>
        <w:t>）比选费用：无论比选结果如何，参选人参与本项目比选的所有费用均应由参选人自行承担。</w:t>
      </w:r>
    </w:p>
    <w:p w14:paraId="3B12F674">
      <w:pPr>
        <w:keepNext/>
        <w:keepLines/>
        <w:adjustRightInd w:val="0"/>
        <w:snapToGrid w:val="0"/>
        <w:ind w:firstLine="560"/>
        <w:jc w:val="left"/>
        <w:outlineLvl w:val="1"/>
        <w:rPr>
          <w:rFonts w:ascii="Times New Roman" w:hAnsi="Times New Roman" w:eastAsia="方正黑体_GBK"/>
          <w:color w:val="auto"/>
          <w:szCs w:val="20"/>
          <w:highlight w:val="none"/>
        </w:rPr>
      </w:pPr>
      <w:bookmarkStart w:id="34" w:name="_Toc50574138"/>
      <w:r>
        <w:rPr>
          <w:rFonts w:ascii="Times New Roman" w:hAnsi="Times New Roman" w:eastAsia="方正黑体_GBK"/>
          <w:color w:val="auto"/>
          <w:szCs w:val="20"/>
          <w:highlight w:val="none"/>
        </w:rPr>
        <w:t>八、发布公告媒介</w:t>
      </w:r>
      <w:bookmarkEnd w:id="34"/>
    </w:p>
    <w:p w14:paraId="61859602">
      <w:pPr>
        <w:ind w:firstLine="560"/>
        <w:rPr>
          <w:rFonts w:ascii="Times New Roman" w:hAnsi="Times New Roman"/>
          <w:color w:val="auto"/>
          <w:highlight w:val="none"/>
        </w:rPr>
      </w:pPr>
      <w:r>
        <w:rPr>
          <w:rFonts w:ascii="Times New Roman" w:hAnsi="Times New Roman"/>
          <w:color w:val="auto"/>
          <w:highlight w:val="none"/>
        </w:rPr>
        <w:t>本次比选公告在重庆华龙网（http://www.cqnews.net）首页、第1眼app发布。</w:t>
      </w:r>
    </w:p>
    <w:p w14:paraId="5CD8AAB5">
      <w:pPr>
        <w:keepNext/>
        <w:keepLines/>
        <w:adjustRightInd w:val="0"/>
        <w:snapToGrid w:val="0"/>
        <w:ind w:firstLine="560"/>
        <w:jc w:val="left"/>
        <w:outlineLvl w:val="1"/>
        <w:rPr>
          <w:rFonts w:ascii="Times New Roman" w:hAnsi="Times New Roman" w:eastAsia="方正黑体_GBK"/>
          <w:color w:val="auto"/>
          <w:szCs w:val="20"/>
          <w:highlight w:val="none"/>
        </w:rPr>
      </w:pPr>
      <w:r>
        <w:rPr>
          <w:rFonts w:ascii="Times New Roman" w:hAnsi="Times New Roman" w:eastAsia="方正黑体_GBK"/>
          <w:color w:val="auto"/>
          <w:szCs w:val="20"/>
          <w:highlight w:val="none"/>
        </w:rPr>
        <w:t>九、联系方式</w:t>
      </w:r>
    </w:p>
    <w:p w14:paraId="7F19D5BD">
      <w:pPr>
        <w:ind w:firstLine="560"/>
        <w:rPr>
          <w:rFonts w:ascii="Times New Roman" w:hAnsi="Times New Roman"/>
          <w:color w:val="auto"/>
          <w:highlight w:val="none"/>
        </w:rPr>
      </w:pPr>
      <w:r>
        <w:rPr>
          <w:rFonts w:ascii="Times New Roman" w:hAnsi="Times New Roman"/>
          <w:color w:val="auto"/>
          <w:highlight w:val="none"/>
        </w:rPr>
        <w:t>联系人及电话：</w:t>
      </w:r>
      <w:r>
        <w:rPr>
          <w:rFonts w:hint="eastAsia" w:ascii="Times New Roman" w:hAnsi="Times New Roman"/>
          <w:color w:val="auto"/>
          <w:highlight w:val="none"/>
        </w:rPr>
        <w:t>陈</w:t>
      </w:r>
      <w:r>
        <w:rPr>
          <w:rFonts w:hint="eastAsia" w:ascii="Times New Roman" w:hAnsi="Times New Roman"/>
          <w:color w:val="auto"/>
          <w:highlight w:val="none"/>
          <w:lang w:val="en-US" w:eastAsia="zh-CN"/>
        </w:rPr>
        <w:t>老师</w:t>
      </w:r>
      <w:r>
        <w:rPr>
          <w:rFonts w:ascii="Times New Roman" w:hAnsi="Times New Roman"/>
          <w:color w:val="auto"/>
          <w:highlight w:val="none"/>
        </w:rPr>
        <w:t>（</w:t>
      </w:r>
      <w:r>
        <w:rPr>
          <w:rFonts w:hint="eastAsia" w:ascii="Times New Roman" w:hAnsi="Times New Roman"/>
          <w:color w:val="auto"/>
          <w:highlight w:val="none"/>
        </w:rPr>
        <w:t>19112339941</w:t>
      </w:r>
      <w:r>
        <w:rPr>
          <w:rFonts w:ascii="Times New Roman" w:hAnsi="Times New Roman"/>
          <w:color w:val="auto"/>
          <w:highlight w:val="none"/>
        </w:rPr>
        <w:t>）杨</w:t>
      </w:r>
      <w:r>
        <w:rPr>
          <w:rFonts w:hint="eastAsia" w:ascii="Times New Roman" w:hAnsi="Times New Roman"/>
          <w:color w:val="auto"/>
          <w:highlight w:val="none"/>
        </w:rPr>
        <w:t>老师</w:t>
      </w:r>
      <w:r>
        <w:rPr>
          <w:rFonts w:ascii="Times New Roman" w:hAnsi="Times New Roman"/>
          <w:color w:val="auto"/>
          <w:highlight w:val="none"/>
        </w:rPr>
        <w:t>（13527497052）</w:t>
      </w:r>
    </w:p>
    <w:p w14:paraId="1D29BAC2">
      <w:pPr>
        <w:ind w:firstLine="560"/>
        <w:rPr>
          <w:rFonts w:ascii="Times New Roman" w:hAnsi="Times New Roman"/>
          <w:color w:val="auto"/>
          <w:spacing w:val="-11"/>
          <w:highlight w:val="none"/>
        </w:rPr>
      </w:pPr>
      <w:r>
        <w:rPr>
          <w:rFonts w:ascii="Times New Roman" w:hAnsi="Times New Roman"/>
          <w:color w:val="auto"/>
          <w:highlight w:val="none"/>
        </w:rPr>
        <w:t>地  址：</w:t>
      </w:r>
      <w:r>
        <w:rPr>
          <w:rFonts w:ascii="Times New Roman" w:hAnsi="Times New Roman"/>
          <w:color w:val="auto"/>
          <w:spacing w:val="-11"/>
          <w:highlight w:val="none"/>
        </w:rPr>
        <w:t>重庆市两江新区金开大道西段106号10幢移动新媒体产业大厦</w:t>
      </w:r>
    </w:p>
    <w:p w14:paraId="64EE6B22">
      <w:pPr>
        <w:ind w:firstLine="560"/>
        <w:rPr>
          <w:rFonts w:ascii="Times New Roman" w:hAnsi="Times New Roman"/>
          <w:b/>
          <w:color w:val="auto"/>
          <w:highlight w:val="none"/>
        </w:rPr>
      </w:pPr>
      <w:bookmarkStart w:id="35" w:name="_Toc49326495"/>
      <w:r>
        <w:rPr>
          <w:rFonts w:ascii="Times New Roman" w:hAnsi="Times New Roman"/>
          <w:color w:val="auto"/>
          <w:highlight w:val="none"/>
        </w:rPr>
        <w:t>本项目不举行答疑会，项目</w:t>
      </w:r>
      <w:r>
        <w:rPr>
          <w:rFonts w:hint="eastAsia" w:ascii="Times New Roman" w:hAnsi="Times New Roman"/>
          <w:color w:val="auto"/>
          <w:highlight w:val="none"/>
        </w:rPr>
        <w:t>需求</w:t>
      </w:r>
      <w:r>
        <w:rPr>
          <w:rFonts w:ascii="Times New Roman" w:hAnsi="Times New Roman"/>
          <w:color w:val="auto"/>
          <w:highlight w:val="none"/>
        </w:rPr>
        <w:t>详情可向采购人了解</w:t>
      </w:r>
      <w:r>
        <w:rPr>
          <w:rFonts w:ascii="Times New Roman" w:hAnsi="Times New Roman"/>
          <w:b/>
          <w:color w:val="auto"/>
          <w:highlight w:val="none"/>
        </w:rPr>
        <w:t>。</w:t>
      </w:r>
      <w:bookmarkEnd w:id="35"/>
    </w:p>
    <w:p w14:paraId="2990DC35">
      <w:pPr>
        <w:ind w:firstLine="562"/>
        <w:rPr>
          <w:rFonts w:ascii="Times New Roman" w:hAnsi="Times New Roman"/>
          <w:b/>
          <w:color w:val="auto"/>
          <w:highlight w:val="none"/>
        </w:rPr>
      </w:pPr>
    </w:p>
    <w:p w14:paraId="78B579F1">
      <w:pPr>
        <w:ind w:firstLine="0" w:firstLineChars="0"/>
        <w:rPr>
          <w:rFonts w:ascii="Times New Roman" w:hAnsi="Times New Roman"/>
          <w:b/>
          <w:color w:val="auto"/>
          <w:highlight w:val="none"/>
        </w:rPr>
      </w:pPr>
    </w:p>
    <w:p w14:paraId="57470A69">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36" w:name="_Toc194572016"/>
      <w:r>
        <w:rPr>
          <w:rFonts w:ascii="Times New Roman" w:hAnsi="Times New Roman" w:eastAsia="方正小标宋_GBK" w:cs="Times New Roman"/>
          <w:b/>
          <w:bCs/>
          <w:color w:val="auto"/>
          <w:kern w:val="44"/>
          <w:sz w:val="32"/>
          <w:szCs w:val="44"/>
          <w:highlight w:val="none"/>
        </w:rPr>
        <w:t>第二篇  项目技术/服务需求</w:t>
      </w:r>
      <w:bookmarkEnd w:id="36"/>
    </w:p>
    <w:p w14:paraId="326CA407">
      <w:pPr>
        <w:numPr>
          <w:ilvl w:val="0"/>
          <w:numId w:val="1"/>
        </w:numPr>
        <w:ind w:firstLine="560"/>
        <w:rPr>
          <w:rFonts w:ascii="Times New Roman" w:hAnsi="Times New Roman" w:eastAsia="方正黑体_GBK"/>
          <w:color w:val="auto"/>
          <w:szCs w:val="20"/>
          <w:highlight w:val="none"/>
        </w:rPr>
      </w:pPr>
      <w:bookmarkStart w:id="37" w:name="_Toc20396"/>
      <w:bookmarkStart w:id="38" w:name="_Toc6891"/>
      <w:r>
        <w:rPr>
          <w:rFonts w:ascii="Times New Roman" w:hAnsi="Times New Roman" w:eastAsia="方正黑体_GBK"/>
          <w:color w:val="auto"/>
          <w:szCs w:val="20"/>
          <w:highlight w:val="none"/>
        </w:rPr>
        <w:t>项目情况</w:t>
      </w:r>
    </w:p>
    <w:p w14:paraId="2DFE4BB8">
      <w:pPr>
        <w:numPr>
          <w:ilvl w:val="255"/>
          <w:numId w:val="0"/>
        </w:numPr>
        <w:ind w:firstLine="560"/>
        <w:rPr>
          <w:color w:val="auto"/>
          <w:highlight w:val="none"/>
        </w:rPr>
      </w:pPr>
      <w:r>
        <w:rPr>
          <w:rFonts w:hint="eastAsia" w:ascii="Times New Roman" w:hAnsi="Times New Roman"/>
          <w:color w:val="auto"/>
          <w:szCs w:val="20"/>
          <w:highlight w:val="none"/>
        </w:rPr>
        <w:t>依据《中华人民共和国网络安全法》三级信息系统每年开展等保测评相关规定，贯彻落实网络安全工作相关指示精神，压紧网络安全主体责任，</w:t>
      </w:r>
      <w:r>
        <w:rPr>
          <w:rFonts w:hint="eastAsia" w:ascii="Times New Roman" w:hAnsi="Times New Roman"/>
          <w:color w:val="auto"/>
          <w:szCs w:val="20"/>
          <w:highlight w:val="none"/>
          <w:lang w:val="en-US" w:eastAsia="zh-CN"/>
        </w:rPr>
        <w:t>采购人对门户</w:t>
      </w:r>
      <w:r>
        <w:rPr>
          <w:rFonts w:hint="eastAsia" w:ascii="Times New Roman" w:hAnsi="Times New Roman"/>
          <w:color w:val="auto"/>
          <w:szCs w:val="20"/>
          <w:highlight w:val="none"/>
        </w:rPr>
        <w:t>网站、</w:t>
      </w:r>
      <w:r>
        <w:rPr>
          <w:rFonts w:ascii="Times New Roman" w:hAnsi="Times New Roman"/>
          <w:color w:val="auto"/>
          <w:szCs w:val="20"/>
          <w:highlight w:val="none"/>
        </w:rPr>
        <w:t xml:space="preserve">1+41 </w:t>
      </w:r>
      <w:r>
        <w:rPr>
          <w:rFonts w:hint="eastAsia" w:ascii="Times New Roman" w:hAnsi="Times New Roman"/>
          <w:color w:val="auto"/>
          <w:szCs w:val="20"/>
          <w:highlight w:val="none"/>
        </w:rPr>
        <w:t>客户端集群云平台、华龙芯智慧数字能力中台</w:t>
      </w:r>
      <w:r>
        <w:rPr>
          <w:rFonts w:ascii="Times New Roman" w:hAnsi="Times New Roman"/>
          <w:color w:val="auto"/>
          <w:szCs w:val="20"/>
          <w:highlight w:val="none"/>
        </w:rPr>
        <w:t>3</w:t>
      </w:r>
      <w:r>
        <w:rPr>
          <w:rFonts w:hint="eastAsia" w:ascii="Times New Roman" w:hAnsi="Times New Roman"/>
          <w:color w:val="auto"/>
          <w:szCs w:val="20"/>
          <w:highlight w:val="none"/>
        </w:rPr>
        <w:t>套三级信息系统实施专项安全测评，排查系统安全隐患、出具合规测评报告，满足行业监管核查要求，保障核心业务系统平稳安全运行。</w:t>
      </w:r>
    </w:p>
    <w:p w14:paraId="34275C94">
      <w:pPr>
        <w:numPr>
          <w:ilvl w:val="0"/>
          <w:numId w:val="1"/>
        </w:numPr>
        <w:ind w:firstLine="560"/>
        <w:rPr>
          <w:rFonts w:ascii="方正黑体_GBK" w:eastAsia="方正黑体_GBK"/>
          <w:color w:val="auto"/>
          <w:szCs w:val="28"/>
          <w:highlight w:val="none"/>
        </w:rPr>
      </w:pPr>
      <w:r>
        <w:rPr>
          <w:rFonts w:hint="eastAsia" w:ascii="方正黑体_GBK" w:eastAsia="方正黑体_GBK"/>
          <w:color w:val="auto"/>
          <w:szCs w:val="28"/>
          <w:highlight w:val="none"/>
        </w:rPr>
        <w:t>项目服务/技术需求内容</w:t>
      </w:r>
    </w:p>
    <w:tbl>
      <w:tblPr>
        <w:tblStyle w:val="19"/>
        <w:tblW w:w="926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977"/>
        <w:gridCol w:w="4849"/>
        <w:gridCol w:w="829"/>
        <w:gridCol w:w="801"/>
      </w:tblGrid>
      <w:tr w14:paraId="05CF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813" w:type="dxa"/>
            <w:shd w:val="clear" w:color="auto" w:fill="D7D7D7" w:themeFill="background1" w:themeFillShade="D8"/>
            <w:vAlign w:val="center"/>
          </w:tcPr>
          <w:p w14:paraId="624A1CC1">
            <w:pPr>
              <w:widowControl/>
              <w:spacing w:line="400" w:lineRule="exact"/>
              <w:ind w:firstLine="0" w:firstLineChars="0"/>
              <w:jc w:val="center"/>
              <w:rPr>
                <w:b/>
                <w:color w:val="auto"/>
                <w:sz w:val="24"/>
                <w:highlight w:val="none"/>
              </w:rPr>
            </w:pPr>
            <w:r>
              <w:rPr>
                <w:rFonts w:hint="eastAsia"/>
                <w:b/>
                <w:bCs/>
                <w:color w:val="auto"/>
                <w:kern w:val="0"/>
                <w:sz w:val="24"/>
                <w:highlight w:val="none"/>
              </w:rPr>
              <w:t>项目名称</w:t>
            </w:r>
          </w:p>
        </w:tc>
        <w:tc>
          <w:tcPr>
            <w:tcW w:w="977" w:type="dxa"/>
            <w:shd w:val="clear" w:color="auto" w:fill="D7D7D7" w:themeFill="background1" w:themeFillShade="D8"/>
            <w:noWrap/>
            <w:vAlign w:val="center"/>
          </w:tcPr>
          <w:p w14:paraId="2C8FE3A9">
            <w:pPr>
              <w:widowControl/>
              <w:spacing w:line="400" w:lineRule="exact"/>
              <w:ind w:firstLine="0" w:firstLineChars="0"/>
              <w:jc w:val="center"/>
              <w:rPr>
                <w:b/>
                <w:bCs/>
                <w:color w:val="auto"/>
                <w:kern w:val="0"/>
                <w:sz w:val="24"/>
                <w:highlight w:val="none"/>
              </w:rPr>
            </w:pPr>
            <w:r>
              <w:rPr>
                <w:rFonts w:hint="eastAsia"/>
                <w:b/>
                <w:bCs/>
                <w:color w:val="auto"/>
                <w:kern w:val="0"/>
                <w:sz w:val="24"/>
                <w:highlight w:val="none"/>
              </w:rPr>
              <w:t>细项</w:t>
            </w:r>
          </w:p>
          <w:p w14:paraId="051DC1E8">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序号</w:t>
            </w:r>
          </w:p>
        </w:tc>
        <w:tc>
          <w:tcPr>
            <w:tcW w:w="4849" w:type="dxa"/>
            <w:shd w:val="clear" w:color="auto" w:fill="D7D7D7" w:themeFill="background1" w:themeFillShade="D8"/>
            <w:noWrap/>
            <w:vAlign w:val="center"/>
          </w:tcPr>
          <w:p w14:paraId="165814ED">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服务名称</w:t>
            </w:r>
          </w:p>
        </w:tc>
        <w:tc>
          <w:tcPr>
            <w:tcW w:w="829" w:type="dxa"/>
            <w:shd w:val="clear" w:color="auto" w:fill="D7D7D7" w:themeFill="background1" w:themeFillShade="D8"/>
            <w:noWrap/>
            <w:vAlign w:val="center"/>
          </w:tcPr>
          <w:p w14:paraId="0A933509">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单位</w:t>
            </w:r>
          </w:p>
        </w:tc>
        <w:tc>
          <w:tcPr>
            <w:tcW w:w="801" w:type="dxa"/>
            <w:shd w:val="clear" w:color="auto" w:fill="D7D7D7" w:themeFill="background1" w:themeFillShade="D8"/>
            <w:noWrap/>
            <w:vAlign w:val="center"/>
          </w:tcPr>
          <w:p w14:paraId="09D31444">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数量</w:t>
            </w:r>
          </w:p>
        </w:tc>
      </w:tr>
      <w:tr w14:paraId="1750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restart"/>
            <w:shd w:val="clear" w:color="auto" w:fill="auto"/>
            <w:vAlign w:val="center"/>
          </w:tcPr>
          <w:p w14:paraId="51A9C95C">
            <w:pPr>
              <w:widowControl/>
              <w:ind w:firstLine="0" w:firstLineChars="0"/>
              <w:jc w:val="center"/>
              <w:rPr>
                <w:b/>
                <w:color w:val="auto"/>
                <w:szCs w:val="28"/>
                <w:highlight w:val="none"/>
              </w:rPr>
            </w:pPr>
            <w:r>
              <w:rPr>
                <w:rFonts w:hint="eastAsia"/>
                <w:b/>
                <w:bCs/>
                <w:color w:val="auto"/>
                <w:szCs w:val="28"/>
                <w:highlight w:val="none"/>
              </w:rPr>
              <w:t>2026年华龙网信息安全服务</w:t>
            </w:r>
          </w:p>
        </w:tc>
        <w:tc>
          <w:tcPr>
            <w:tcW w:w="977" w:type="dxa"/>
            <w:shd w:val="clear" w:color="auto" w:fill="auto"/>
            <w:noWrap/>
            <w:vAlign w:val="center"/>
          </w:tcPr>
          <w:p w14:paraId="280A86DB">
            <w:pPr>
              <w:widowControl/>
              <w:spacing w:line="400" w:lineRule="exact"/>
              <w:ind w:firstLine="0" w:firstLineChars="0"/>
              <w:jc w:val="center"/>
              <w:rPr>
                <w:color w:val="auto"/>
                <w:sz w:val="24"/>
                <w:highlight w:val="none"/>
              </w:rPr>
            </w:pPr>
            <w:r>
              <w:rPr>
                <w:rFonts w:hint="eastAsia"/>
                <w:color w:val="auto"/>
                <w:sz w:val="24"/>
                <w:highlight w:val="none"/>
              </w:rPr>
              <w:t>1</w:t>
            </w:r>
          </w:p>
        </w:tc>
        <w:tc>
          <w:tcPr>
            <w:tcW w:w="4849" w:type="dxa"/>
            <w:shd w:val="clear" w:color="auto" w:fill="auto"/>
            <w:noWrap/>
            <w:vAlign w:val="center"/>
          </w:tcPr>
          <w:p w14:paraId="0BDD1AF3">
            <w:pPr>
              <w:widowControl/>
              <w:spacing w:line="400" w:lineRule="exact"/>
              <w:ind w:firstLine="0" w:firstLineChars="0"/>
              <w:jc w:val="left"/>
              <w:rPr>
                <w:color w:val="auto"/>
                <w:sz w:val="24"/>
                <w:highlight w:val="none"/>
              </w:rPr>
            </w:pPr>
            <w:r>
              <w:rPr>
                <w:rFonts w:hint="eastAsia"/>
                <w:color w:val="auto"/>
                <w:sz w:val="24"/>
                <w:highlight w:val="none"/>
              </w:rPr>
              <w:t>门户网站系统三级等级保护测评</w:t>
            </w:r>
          </w:p>
        </w:tc>
        <w:tc>
          <w:tcPr>
            <w:tcW w:w="829" w:type="dxa"/>
            <w:shd w:val="clear" w:color="auto" w:fill="auto"/>
            <w:noWrap/>
            <w:vAlign w:val="center"/>
          </w:tcPr>
          <w:p w14:paraId="1430FDD3">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2C7C1CB3">
            <w:pPr>
              <w:widowControl/>
              <w:spacing w:line="400" w:lineRule="exact"/>
              <w:ind w:firstLine="0" w:firstLineChars="0"/>
              <w:jc w:val="center"/>
              <w:rPr>
                <w:color w:val="auto"/>
                <w:sz w:val="24"/>
                <w:highlight w:val="none"/>
              </w:rPr>
            </w:pPr>
            <w:r>
              <w:rPr>
                <w:rFonts w:hint="eastAsia"/>
                <w:color w:val="auto"/>
                <w:sz w:val="24"/>
                <w:highlight w:val="none"/>
              </w:rPr>
              <w:t>1</w:t>
            </w:r>
          </w:p>
        </w:tc>
      </w:tr>
      <w:tr w14:paraId="0876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22D92ACE">
            <w:pPr>
              <w:widowControl/>
              <w:ind w:firstLine="0" w:firstLineChars="0"/>
              <w:jc w:val="center"/>
              <w:rPr>
                <w:b/>
                <w:bCs/>
                <w:color w:val="auto"/>
                <w:kern w:val="0"/>
                <w:sz w:val="24"/>
                <w:highlight w:val="none"/>
              </w:rPr>
            </w:pPr>
          </w:p>
        </w:tc>
        <w:tc>
          <w:tcPr>
            <w:tcW w:w="977" w:type="dxa"/>
            <w:shd w:val="clear" w:color="auto" w:fill="auto"/>
            <w:noWrap/>
            <w:vAlign w:val="center"/>
          </w:tcPr>
          <w:p w14:paraId="15EA275E">
            <w:pPr>
              <w:widowControl/>
              <w:spacing w:line="400" w:lineRule="exact"/>
              <w:ind w:firstLine="0" w:firstLineChars="0"/>
              <w:jc w:val="center"/>
              <w:rPr>
                <w:color w:val="auto"/>
                <w:sz w:val="24"/>
                <w:highlight w:val="none"/>
              </w:rPr>
            </w:pPr>
            <w:r>
              <w:rPr>
                <w:rFonts w:hint="eastAsia"/>
                <w:color w:val="auto"/>
                <w:sz w:val="24"/>
                <w:highlight w:val="none"/>
              </w:rPr>
              <w:t>2</w:t>
            </w:r>
          </w:p>
        </w:tc>
        <w:tc>
          <w:tcPr>
            <w:tcW w:w="4849" w:type="dxa"/>
            <w:shd w:val="clear" w:color="auto" w:fill="auto"/>
            <w:noWrap/>
            <w:vAlign w:val="center"/>
          </w:tcPr>
          <w:p w14:paraId="32F3B8F6">
            <w:pPr>
              <w:widowControl/>
              <w:spacing w:line="400" w:lineRule="exact"/>
              <w:ind w:firstLine="0" w:firstLineChars="0"/>
              <w:jc w:val="left"/>
              <w:rPr>
                <w:color w:val="auto"/>
                <w:sz w:val="24"/>
                <w:highlight w:val="none"/>
              </w:rPr>
            </w:pPr>
            <w:r>
              <w:rPr>
                <w:rFonts w:hint="eastAsia"/>
                <w:color w:val="auto"/>
                <w:sz w:val="24"/>
                <w:highlight w:val="none"/>
              </w:rPr>
              <w:t>门户网站系统渗透测试服务</w:t>
            </w:r>
          </w:p>
        </w:tc>
        <w:tc>
          <w:tcPr>
            <w:tcW w:w="829" w:type="dxa"/>
            <w:shd w:val="clear" w:color="auto" w:fill="auto"/>
            <w:noWrap/>
            <w:vAlign w:val="center"/>
          </w:tcPr>
          <w:p w14:paraId="32FB1E61">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12AEBB2B">
            <w:pPr>
              <w:widowControl/>
              <w:spacing w:line="400" w:lineRule="exact"/>
              <w:ind w:firstLine="0" w:firstLineChars="0"/>
              <w:jc w:val="center"/>
              <w:rPr>
                <w:color w:val="auto"/>
                <w:sz w:val="24"/>
                <w:highlight w:val="none"/>
              </w:rPr>
            </w:pPr>
            <w:r>
              <w:rPr>
                <w:rFonts w:hint="eastAsia"/>
                <w:color w:val="auto"/>
                <w:sz w:val="24"/>
                <w:highlight w:val="none"/>
              </w:rPr>
              <w:t>1</w:t>
            </w:r>
          </w:p>
        </w:tc>
      </w:tr>
      <w:tr w14:paraId="165B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6548B9F5">
            <w:pPr>
              <w:widowControl/>
              <w:ind w:firstLine="0" w:firstLineChars="0"/>
              <w:jc w:val="center"/>
              <w:rPr>
                <w:b/>
                <w:bCs/>
                <w:color w:val="auto"/>
                <w:kern w:val="0"/>
                <w:sz w:val="24"/>
                <w:highlight w:val="none"/>
              </w:rPr>
            </w:pPr>
          </w:p>
        </w:tc>
        <w:tc>
          <w:tcPr>
            <w:tcW w:w="977" w:type="dxa"/>
            <w:shd w:val="clear" w:color="auto" w:fill="auto"/>
            <w:noWrap/>
            <w:vAlign w:val="center"/>
          </w:tcPr>
          <w:p w14:paraId="322042FE">
            <w:pPr>
              <w:widowControl/>
              <w:spacing w:line="400" w:lineRule="exact"/>
              <w:ind w:firstLine="0" w:firstLineChars="0"/>
              <w:jc w:val="center"/>
              <w:rPr>
                <w:color w:val="auto"/>
                <w:sz w:val="24"/>
                <w:highlight w:val="none"/>
              </w:rPr>
            </w:pPr>
            <w:r>
              <w:rPr>
                <w:rFonts w:hint="eastAsia"/>
                <w:color w:val="auto"/>
                <w:sz w:val="24"/>
                <w:highlight w:val="none"/>
              </w:rPr>
              <w:t>3</w:t>
            </w:r>
          </w:p>
        </w:tc>
        <w:tc>
          <w:tcPr>
            <w:tcW w:w="4849" w:type="dxa"/>
            <w:shd w:val="clear" w:color="auto" w:fill="auto"/>
            <w:noWrap/>
            <w:vAlign w:val="center"/>
          </w:tcPr>
          <w:p w14:paraId="5D1A37C1">
            <w:pPr>
              <w:widowControl/>
              <w:spacing w:line="400" w:lineRule="exact"/>
              <w:ind w:firstLine="0" w:firstLineChars="0"/>
              <w:jc w:val="left"/>
              <w:rPr>
                <w:color w:val="auto"/>
                <w:sz w:val="24"/>
                <w:highlight w:val="none"/>
              </w:rPr>
            </w:pPr>
            <w:r>
              <w:rPr>
                <w:rFonts w:hint="eastAsia"/>
                <w:color w:val="auto"/>
                <w:sz w:val="24"/>
                <w:highlight w:val="none"/>
              </w:rPr>
              <w:t>门户网站安全巡检及安全扫描服务</w:t>
            </w:r>
          </w:p>
        </w:tc>
        <w:tc>
          <w:tcPr>
            <w:tcW w:w="829" w:type="dxa"/>
            <w:shd w:val="clear" w:color="auto" w:fill="auto"/>
            <w:noWrap/>
            <w:vAlign w:val="center"/>
          </w:tcPr>
          <w:p w14:paraId="7A24D2FD">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4281EFC6">
            <w:pPr>
              <w:widowControl/>
              <w:spacing w:line="400" w:lineRule="exact"/>
              <w:ind w:firstLine="0" w:firstLineChars="0"/>
              <w:jc w:val="center"/>
              <w:rPr>
                <w:color w:val="auto"/>
                <w:sz w:val="24"/>
                <w:highlight w:val="none"/>
              </w:rPr>
            </w:pPr>
            <w:r>
              <w:rPr>
                <w:rFonts w:hint="eastAsia"/>
                <w:color w:val="auto"/>
                <w:sz w:val="24"/>
                <w:highlight w:val="none"/>
              </w:rPr>
              <w:t>4</w:t>
            </w:r>
          </w:p>
        </w:tc>
      </w:tr>
      <w:tr w14:paraId="1605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0CD3D551">
            <w:pPr>
              <w:widowControl/>
              <w:ind w:firstLine="0" w:firstLineChars="0"/>
              <w:jc w:val="center"/>
              <w:rPr>
                <w:b/>
                <w:bCs/>
                <w:color w:val="auto"/>
                <w:kern w:val="0"/>
                <w:sz w:val="24"/>
                <w:highlight w:val="none"/>
              </w:rPr>
            </w:pPr>
          </w:p>
        </w:tc>
        <w:tc>
          <w:tcPr>
            <w:tcW w:w="977" w:type="dxa"/>
            <w:shd w:val="clear" w:color="auto" w:fill="auto"/>
            <w:noWrap/>
            <w:vAlign w:val="center"/>
          </w:tcPr>
          <w:p w14:paraId="7840E106">
            <w:pPr>
              <w:widowControl/>
              <w:spacing w:line="400" w:lineRule="exact"/>
              <w:ind w:firstLine="0" w:firstLineChars="0"/>
              <w:jc w:val="center"/>
              <w:rPr>
                <w:color w:val="auto"/>
                <w:sz w:val="24"/>
                <w:highlight w:val="none"/>
              </w:rPr>
            </w:pPr>
            <w:r>
              <w:rPr>
                <w:rFonts w:hint="eastAsia"/>
                <w:color w:val="auto"/>
                <w:sz w:val="24"/>
                <w:highlight w:val="none"/>
              </w:rPr>
              <w:t>4</w:t>
            </w:r>
          </w:p>
        </w:tc>
        <w:tc>
          <w:tcPr>
            <w:tcW w:w="4849" w:type="dxa"/>
            <w:shd w:val="clear" w:color="auto" w:fill="auto"/>
            <w:noWrap/>
            <w:vAlign w:val="center"/>
          </w:tcPr>
          <w:p w14:paraId="12F1E42B">
            <w:pPr>
              <w:widowControl/>
              <w:spacing w:line="400" w:lineRule="exact"/>
              <w:ind w:firstLine="0" w:firstLineChars="0"/>
              <w:jc w:val="left"/>
              <w:rPr>
                <w:color w:val="auto"/>
                <w:sz w:val="24"/>
                <w:highlight w:val="none"/>
              </w:rPr>
            </w:pPr>
            <w:r>
              <w:rPr>
                <w:rFonts w:hint="eastAsia"/>
                <w:color w:val="auto"/>
                <w:sz w:val="24"/>
                <w:highlight w:val="none"/>
              </w:rPr>
              <w:t>门户网站系统安全评估服务</w:t>
            </w:r>
          </w:p>
        </w:tc>
        <w:tc>
          <w:tcPr>
            <w:tcW w:w="829" w:type="dxa"/>
            <w:shd w:val="clear" w:color="auto" w:fill="auto"/>
            <w:noWrap/>
            <w:vAlign w:val="center"/>
          </w:tcPr>
          <w:p w14:paraId="0BA870E2">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45923BBE">
            <w:pPr>
              <w:widowControl/>
              <w:spacing w:line="400" w:lineRule="exact"/>
              <w:ind w:firstLine="0" w:firstLineChars="0"/>
              <w:jc w:val="center"/>
              <w:rPr>
                <w:color w:val="auto"/>
                <w:sz w:val="24"/>
                <w:highlight w:val="none"/>
              </w:rPr>
            </w:pPr>
            <w:r>
              <w:rPr>
                <w:rFonts w:hint="eastAsia"/>
                <w:color w:val="auto"/>
                <w:sz w:val="24"/>
                <w:highlight w:val="none"/>
              </w:rPr>
              <w:t>1</w:t>
            </w:r>
          </w:p>
        </w:tc>
      </w:tr>
      <w:tr w14:paraId="5067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0132A8E9">
            <w:pPr>
              <w:widowControl/>
              <w:ind w:firstLine="0" w:firstLineChars="0"/>
              <w:jc w:val="center"/>
              <w:rPr>
                <w:b/>
                <w:bCs/>
                <w:color w:val="auto"/>
                <w:kern w:val="0"/>
                <w:sz w:val="24"/>
                <w:highlight w:val="none"/>
              </w:rPr>
            </w:pPr>
          </w:p>
        </w:tc>
        <w:tc>
          <w:tcPr>
            <w:tcW w:w="977" w:type="dxa"/>
            <w:shd w:val="clear" w:color="auto" w:fill="auto"/>
            <w:noWrap/>
            <w:vAlign w:val="center"/>
          </w:tcPr>
          <w:p w14:paraId="0B3F4D24">
            <w:pPr>
              <w:widowControl/>
              <w:spacing w:line="400" w:lineRule="exact"/>
              <w:ind w:firstLine="0" w:firstLineChars="0"/>
              <w:jc w:val="center"/>
              <w:rPr>
                <w:color w:val="auto"/>
                <w:sz w:val="24"/>
                <w:highlight w:val="none"/>
              </w:rPr>
            </w:pPr>
            <w:r>
              <w:rPr>
                <w:rFonts w:hint="eastAsia"/>
                <w:color w:val="auto"/>
                <w:sz w:val="24"/>
                <w:highlight w:val="none"/>
              </w:rPr>
              <w:t>5</w:t>
            </w:r>
          </w:p>
        </w:tc>
        <w:tc>
          <w:tcPr>
            <w:tcW w:w="4849" w:type="dxa"/>
            <w:shd w:val="clear" w:color="auto" w:fill="auto"/>
            <w:noWrap/>
            <w:vAlign w:val="center"/>
          </w:tcPr>
          <w:p w14:paraId="49EDDC79">
            <w:pPr>
              <w:widowControl/>
              <w:spacing w:line="400" w:lineRule="exact"/>
              <w:ind w:firstLine="0" w:firstLineChars="0"/>
              <w:jc w:val="left"/>
              <w:rPr>
                <w:color w:val="auto"/>
                <w:sz w:val="24"/>
                <w:highlight w:val="none"/>
              </w:rPr>
            </w:pPr>
            <w:r>
              <w:rPr>
                <w:rFonts w:hint="eastAsia"/>
                <w:color w:val="auto"/>
                <w:sz w:val="24"/>
                <w:highlight w:val="none"/>
              </w:rPr>
              <w:t>网站监测预警</w:t>
            </w:r>
          </w:p>
        </w:tc>
        <w:tc>
          <w:tcPr>
            <w:tcW w:w="829" w:type="dxa"/>
            <w:shd w:val="clear" w:color="auto" w:fill="auto"/>
            <w:noWrap/>
            <w:vAlign w:val="center"/>
          </w:tcPr>
          <w:p w14:paraId="5B6D5EDC">
            <w:pPr>
              <w:widowControl/>
              <w:spacing w:line="400" w:lineRule="exact"/>
              <w:ind w:firstLine="0" w:firstLineChars="0"/>
              <w:jc w:val="center"/>
              <w:rPr>
                <w:rFonts w:hint="eastAsia" w:eastAsia="方正仿宋_GBK"/>
                <w:color w:val="auto"/>
                <w:sz w:val="24"/>
                <w:highlight w:val="none"/>
                <w:lang w:eastAsia="zh-CN"/>
              </w:rPr>
            </w:pPr>
            <w:r>
              <w:rPr>
                <w:rFonts w:hint="eastAsia"/>
                <w:color w:val="auto"/>
                <w:sz w:val="24"/>
                <w:highlight w:val="none"/>
                <w:lang w:val="en-US" w:eastAsia="zh-CN"/>
              </w:rPr>
              <w:t>月</w:t>
            </w:r>
          </w:p>
        </w:tc>
        <w:tc>
          <w:tcPr>
            <w:tcW w:w="801" w:type="dxa"/>
            <w:shd w:val="clear" w:color="auto" w:fill="auto"/>
            <w:noWrap/>
            <w:vAlign w:val="center"/>
          </w:tcPr>
          <w:p w14:paraId="6F7535B0">
            <w:pPr>
              <w:widowControl/>
              <w:spacing w:line="400" w:lineRule="exact"/>
              <w:ind w:firstLine="0" w:firstLineChars="0"/>
              <w:jc w:val="center"/>
              <w:rPr>
                <w:rFonts w:hint="default" w:eastAsia="方正仿宋_GBK"/>
                <w:color w:val="auto"/>
                <w:sz w:val="24"/>
                <w:highlight w:val="none"/>
                <w:lang w:val="en-US" w:eastAsia="zh-CN"/>
              </w:rPr>
            </w:pPr>
            <w:r>
              <w:rPr>
                <w:rFonts w:hint="eastAsia"/>
                <w:color w:val="auto"/>
                <w:sz w:val="24"/>
                <w:highlight w:val="none"/>
                <w:lang w:val="en-US" w:eastAsia="zh-CN"/>
              </w:rPr>
              <w:t>12</w:t>
            </w:r>
          </w:p>
        </w:tc>
      </w:tr>
      <w:tr w14:paraId="27E7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6F08DA9E">
            <w:pPr>
              <w:widowControl/>
              <w:ind w:firstLine="0" w:firstLineChars="0"/>
              <w:jc w:val="center"/>
              <w:rPr>
                <w:b/>
                <w:bCs/>
                <w:color w:val="auto"/>
                <w:kern w:val="0"/>
                <w:sz w:val="24"/>
                <w:highlight w:val="none"/>
              </w:rPr>
            </w:pPr>
          </w:p>
        </w:tc>
        <w:tc>
          <w:tcPr>
            <w:tcW w:w="977" w:type="dxa"/>
            <w:shd w:val="clear" w:color="auto" w:fill="auto"/>
            <w:noWrap/>
            <w:vAlign w:val="center"/>
          </w:tcPr>
          <w:p w14:paraId="2C0E2E86">
            <w:pPr>
              <w:widowControl/>
              <w:spacing w:line="400" w:lineRule="exact"/>
              <w:ind w:firstLine="0" w:firstLineChars="0"/>
              <w:jc w:val="center"/>
              <w:rPr>
                <w:color w:val="auto"/>
                <w:sz w:val="24"/>
                <w:highlight w:val="none"/>
              </w:rPr>
            </w:pPr>
            <w:r>
              <w:rPr>
                <w:rFonts w:hint="eastAsia"/>
                <w:color w:val="auto"/>
                <w:sz w:val="24"/>
                <w:highlight w:val="none"/>
              </w:rPr>
              <w:t>6</w:t>
            </w:r>
          </w:p>
        </w:tc>
        <w:tc>
          <w:tcPr>
            <w:tcW w:w="4849" w:type="dxa"/>
            <w:shd w:val="clear" w:color="auto" w:fill="auto"/>
            <w:noWrap/>
            <w:vAlign w:val="center"/>
          </w:tcPr>
          <w:p w14:paraId="195DFD57">
            <w:pPr>
              <w:widowControl/>
              <w:spacing w:line="400" w:lineRule="exact"/>
              <w:ind w:firstLine="0" w:firstLineChars="0"/>
              <w:jc w:val="left"/>
              <w:rPr>
                <w:color w:val="auto"/>
                <w:sz w:val="24"/>
                <w:highlight w:val="none"/>
              </w:rPr>
            </w:pPr>
            <w:r>
              <w:rPr>
                <w:rFonts w:hint="eastAsia"/>
                <w:color w:val="auto"/>
                <w:sz w:val="24"/>
                <w:highlight w:val="none"/>
              </w:rPr>
              <w:t>1+41重庆客户端集群云平台三级等级保护测评服务</w:t>
            </w:r>
          </w:p>
        </w:tc>
        <w:tc>
          <w:tcPr>
            <w:tcW w:w="829" w:type="dxa"/>
            <w:shd w:val="clear" w:color="auto" w:fill="auto"/>
            <w:noWrap/>
            <w:vAlign w:val="center"/>
          </w:tcPr>
          <w:p w14:paraId="1E40FC40">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46649DED">
            <w:pPr>
              <w:widowControl/>
              <w:spacing w:line="400" w:lineRule="exact"/>
              <w:ind w:firstLine="0" w:firstLineChars="0"/>
              <w:jc w:val="center"/>
              <w:rPr>
                <w:color w:val="auto"/>
                <w:sz w:val="24"/>
                <w:highlight w:val="none"/>
              </w:rPr>
            </w:pPr>
            <w:r>
              <w:rPr>
                <w:rFonts w:hint="eastAsia"/>
                <w:color w:val="auto"/>
                <w:sz w:val="24"/>
                <w:highlight w:val="none"/>
              </w:rPr>
              <w:t>1</w:t>
            </w:r>
          </w:p>
        </w:tc>
      </w:tr>
      <w:tr w14:paraId="1DDF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45B17A88">
            <w:pPr>
              <w:widowControl/>
              <w:ind w:firstLine="0" w:firstLineChars="0"/>
              <w:jc w:val="center"/>
              <w:rPr>
                <w:b/>
                <w:bCs/>
                <w:color w:val="auto"/>
                <w:kern w:val="0"/>
                <w:sz w:val="24"/>
                <w:highlight w:val="none"/>
              </w:rPr>
            </w:pPr>
          </w:p>
        </w:tc>
        <w:tc>
          <w:tcPr>
            <w:tcW w:w="977" w:type="dxa"/>
            <w:shd w:val="clear" w:color="auto" w:fill="auto"/>
            <w:noWrap/>
            <w:vAlign w:val="center"/>
          </w:tcPr>
          <w:p w14:paraId="1E126E96">
            <w:pPr>
              <w:widowControl/>
              <w:spacing w:line="400" w:lineRule="exact"/>
              <w:ind w:firstLine="0" w:firstLineChars="0"/>
              <w:jc w:val="center"/>
              <w:rPr>
                <w:color w:val="auto"/>
                <w:sz w:val="24"/>
                <w:highlight w:val="none"/>
              </w:rPr>
            </w:pPr>
            <w:r>
              <w:rPr>
                <w:rFonts w:hint="eastAsia"/>
                <w:color w:val="auto"/>
                <w:sz w:val="24"/>
                <w:highlight w:val="none"/>
              </w:rPr>
              <w:t>7</w:t>
            </w:r>
          </w:p>
        </w:tc>
        <w:tc>
          <w:tcPr>
            <w:tcW w:w="4849" w:type="dxa"/>
            <w:shd w:val="clear" w:color="auto" w:fill="auto"/>
            <w:noWrap/>
            <w:vAlign w:val="center"/>
          </w:tcPr>
          <w:p w14:paraId="4DC73A99">
            <w:pPr>
              <w:widowControl/>
              <w:spacing w:line="400" w:lineRule="exact"/>
              <w:ind w:firstLine="0" w:firstLineChars="0"/>
              <w:jc w:val="left"/>
              <w:rPr>
                <w:color w:val="auto"/>
                <w:sz w:val="24"/>
                <w:highlight w:val="none"/>
              </w:rPr>
            </w:pPr>
            <w:r>
              <w:rPr>
                <w:rFonts w:hint="eastAsia"/>
                <w:color w:val="auto"/>
                <w:sz w:val="24"/>
                <w:highlight w:val="none"/>
              </w:rPr>
              <w:t>1+41重庆客户端集群云平台渗透测试服务</w:t>
            </w:r>
          </w:p>
        </w:tc>
        <w:tc>
          <w:tcPr>
            <w:tcW w:w="829" w:type="dxa"/>
            <w:shd w:val="clear" w:color="auto" w:fill="auto"/>
            <w:noWrap/>
            <w:vAlign w:val="center"/>
          </w:tcPr>
          <w:p w14:paraId="4A274FFE">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582EAF12">
            <w:pPr>
              <w:widowControl/>
              <w:spacing w:line="400" w:lineRule="exact"/>
              <w:ind w:firstLine="0" w:firstLineChars="0"/>
              <w:jc w:val="center"/>
              <w:rPr>
                <w:color w:val="auto"/>
                <w:sz w:val="24"/>
                <w:highlight w:val="none"/>
              </w:rPr>
            </w:pPr>
            <w:r>
              <w:rPr>
                <w:rFonts w:hint="eastAsia"/>
                <w:color w:val="auto"/>
                <w:sz w:val="24"/>
                <w:highlight w:val="none"/>
              </w:rPr>
              <w:t>1</w:t>
            </w:r>
          </w:p>
        </w:tc>
      </w:tr>
      <w:tr w14:paraId="191C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5C7BBD2C">
            <w:pPr>
              <w:widowControl/>
              <w:ind w:firstLine="0" w:firstLineChars="0"/>
              <w:jc w:val="center"/>
              <w:rPr>
                <w:b/>
                <w:bCs/>
                <w:color w:val="auto"/>
                <w:kern w:val="0"/>
                <w:sz w:val="24"/>
                <w:highlight w:val="none"/>
              </w:rPr>
            </w:pPr>
          </w:p>
        </w:tc>
        <w:tc>
          <w:tcPr>
            <w:tcW w:w="977" w:type="dxa"/>
            <w:shd w:val="clear" w:color="auto" w:fill="auto"/>
            <w:noWrap/>
            <w:vAlign w:val="center"/>
          </w:tcPr>
          <w:p w14:paraId="2BC7D209">
            <w:pPr>
              <w:widowControl/>
              <w:spacing w:line="400" w:lineRule="exact"/>
              <w:ind w:firstLine="0" w:firstLineChars="0"/>
              <w:jc w:val="center"/>
              <w:rPr>
                <w:color w:val="auto"/>
                <w:sz w:val="24"/>
                <w:highlight w:val="none"/>
              </w:rPr>
            </w:pPr>
            <w:r>
              <w:rPr>
                <w:rFonts w:hint="eastAsia"/>
                <w:color w:val="auto"/>
                <w:sz w:val="24"/>
                <w:highlight w:val="none"/>
              </w:rPr>
              <w:t>8</w:t>
            </w:r>
          </w:p>
        </w:tc>
        <w:tc>
          <w:tcPr>
            <w:tcW w:w="4849" w:type="dxa"/>
            <w:shd w:val="clear" w:color="auto" w:fill="auto"/>
            <w:noWrap/>
            <w:vAlign w:val="center"/>
          </w:tcPr>
          <w:p w14:paraId="520F1ACB">
            <w:pPr>
              <w:widowControl/>
              <w:spacing w:line="400" w:lineRule="exact"/>
              <w:ind w:firstLine="0" w:firstLineChars="0"/>
              <w:jc w:val="left"/>
              <w:rPr>
                <w:color w:val="auto"/>
                <w:sz w:val="24"/>
                <w:highlight w:val="none"/>
              </w:rPr>
            </w:pPr>
            <w:r>
              <w:rPr>
                <w:rFonts w:hint="eastAsia"/>
                <w:color w:val="auto"/>
                <w:sz w:val="24"/>
                <w:highlight w:val="none"/>
              </w:rPr>
              <w:t>1+41重庆客户端集群云平台安全评估服务</w:t>
            </w:r>
          </w:p>
        </w:tc>
        <w:tc>
          <w:tcPr>
            <w:tcW w:w="829" w:type="dxa"/>
            <w:shd w:val="clear" w:color="auto" w:fill="auto"/>
            <w:noWrap/>
            <w:vAlign w:val="center"/>
          </w:tcPr>
          <w:p w14:paraId="2A2FC160">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743ED6FF">
            <w:pPr>
              <w:widowControl/>
              <w:spacing w:line="400" w:lineRule="exact"/>
              <w:ind w:firstLine="0" w:firstLineChars="0"/>
              <w:jc w:val="center"/>
              <w:rPr>
                <w:color w:val="auto"/>
                <w:sz w:val="24"/>
                <w:highlight w:val="none"/>
              </w:rPr>
            </w:pPr>
            <w:r>
              <w:rPr>
                <w:rFonts w:hint="eastAsia"/>
                <w:color w:val="auto"/>
                <w:sz w:val="24"/>
                <w:highlight w:val="none"/>
              </w:rPr>
              <w:t>1</w:t>
            </w:r>
          </w:p>
        </w:tc>
      </w:tr>
      <w:tr w14:paraId="29FD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813" w:type="dxa"/>
            <w:vMerge w:val="continue"/>
            <w:vAlign w:val="center"/>
          </w:tcPr>
          <w:p w14:paraId="0F1504CA">
            <w:pPr>
              <w:widowControl/>
              <w:ind w:firstLine="0" w:firstLineChars="0"/>
              <w:jc w:val="center"/>
              <w:rPr>
                <w:b/>
                <w:bCs/>
                <w:color w:val="auto"/>
                <w:kern w:val="0"/>
                <w:sz w:val="24"/>
                <w:highlight w:val="none"/>
              </w:rPr>
            </w:pPr>
          </w:p>
        </w:tc>
        <w:tc>
          <w:tcPr>
            <w:tcW w:w="977" w:type="dxa"/>
            <w:shd w:val="clear" w:color="auto" w:fill="auto"/>
            <w:noWrap/>
            <w:vAlign w:val="center"/>
          </w:tcPr>
          <w:p w14:paraId="1E79C7C2">
            <w:pPr>
              <w:widowControl/>
              <w:spacing w:line="400" w:lineRule="exact"/>
              <w:ind w:firstLine="0" w:firstLineChars="0"/>
              <w:jc w:val="center"/>
              <w:rPr>
                <w:color w:val="auto"/>
                <w:sz w:val="24"/>
                <w:highlight w:val="none"/>
              </w:rPr>
            </w:pPr>
            <w:r>
              <w:rPr>
                <w:rFonts w:hint="eastAsia"/>
                <w:color w:val="auto"/>
                <w:sz w:val="24"/>
                <w:highlight w:val="none"/>
              </w:rPr>
              <w:t>9</w:t>
            </w:r>
          </w:p>
        </w:tc>
        <w:tc>
          <w:tcPr>
            <w:tcW w:w="4849" w:type="dxa"/>
            <w:shd w:val="clear" w:color="auto" w:fill="auto"/>
            <w:noWrap/>
            <w:vAlign w:val="center"/>
          </w:tcPr>
          <w:p w14:paraId="7D899CB9">
            <w:pPr>
              <w:widowControl/>
              <w:spacing w:line="400" w:lineRule="exact"/>
              <w:ind w:firstLine="0" w:firstLineChars="0"/>
              <w:jc w:val="left"/>
              <w:rPr>
                <w:color w:val="auto"/>
                <w:sz w:val="24"/>
                <w:highlight w:val="none"/>
              </w:rPr>
            </w:pPr>
            <w:r>
              <w:rPr>
                <w:rFonts w:hint="eastAsia"/>
                <w:color w:val="auto"/>
                <w:sz w:val="24"/>
                <w:highlight w:val="none"/>
              </w:rPr>
              <w:t>华龙芯智慧数字能力中台三级等级保护测评服务</w:t>
            </w:r>
          </w:p>
        </w:tc>
        <w:tc>
          <w:tcPr>
            <w:tcW w:w="829" w:type="dxa"/>
            <w:shd w:val="clear" w:color="auto" w:fill="auto"/>
            <w:noWrap/>
            <w:vAlign w:val="center"/>
          </w:tcPr>
          <w:p w14:paraId="0E6D8EA4">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2C6BFE2F">
            <w:pPr>
              <w:widowControl/>
              <w:spacing w:line="400" w:lineRule="exact"/>
              <w:ind w:firstLine="0" w:firstLineChars="0"/>
              <w:jc w:val="center"/>
              <w:rPr>
                <w:color w:val="auto"/>
                <w:sz w:val="24"/>
                <w:highlight w:val="none"/>
              </w:rPr>
            </w:pPr>
            <w:r>
              <w:rPr>
                <w:rFonts w:hint="eastAsia"/>
                <w:color w:val="auto"/>
                <w:sz w:val="24"/>
                <w:highlight w:val="none"/>
              </w:rPr>
              <w:t>1</w:t>
            </w:r>
          </w:p>
        </w:tc>
      </w:tr>
      <w:tr w14:paraId="354D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37A3619C">
            <w:pPr>
              <w:widowControl/>
              <w:ind w:firstLine="0" w:firstLineChars="0"/>
              <w:jc w:val="center"/>
              <w:rPr>
                <w:b/>
                <w:bCs/>
                <w:color w:val="auto"/>
                <w:kern w:val="0"/>
                <w:sz w:val="24"/>
                <w:highlight w:val="none"/>
              </w:rPr>
            </w:pPr>
          </w:p>
        </w:tc>
        <w:tc>
          <w:tcPr>
            <w:tcW w:w="977" w:type="dxa"/>
            <w:shd w:val="clear" w:color="auto" w:fill="auto"/>
            <w:noWrap/>
            <w:vAlign w:val="center"/>
          </w:tcPr>
          <w:p w14:paraId="79C4945F">
            <w:pPr>
              <w:widowControl/>
              <w:spacing w:line="400" w:lineRule="exact"/>
              <w:ind w:firstLine="0" w:firstLineChars="0"/>
              <w:jc w:val="center"/>
              <w:rPr>
                <w:color w:val="auto"/>
                <w:sz w:val="24"/>
                <w:highlight w:val="none"/>
              </w:rPr>
            </w:pPr>
            <w:r>
              <w:rPr>
                <w:rFonts w:hint="eastAsia"/>
                <w:color w:val="auto"/>
                <w:sz w:val="24"/>
                <w:highlight w:val="none"/>
              </w:rPr>
              <w:t>10</w:t>
            </w:r>
          </w:p>
        </w:tc>
        <w:tc>
          <w:tcPr>
            <w:tcW w:w="4849" w:type="dxa"/>
            <w:shd w:val="clear" w:color="auto" w:fill="auto"/>
            <w:noWrap/>
            <w:vAlign w:val="center"/>
          </w:tcPr>
          <w:p w14:paraId="44BEC735">
            <w:pPr>
              <w:widowControl/>
              <w:spacing w:line="400" w:lineRule="exact"/>
              <w:ind w:firstLine="0" w:firstLineChars="0"/>
              <w:jc w:val="left"/>
              <w:rPr>
                <w:color w:val="auto"/>
                <w:sz w:val="24"/>
                <w:highlight w:val="none"/>
              </w:rPr>
            </w:pPr>
            <w:r>
              <w:rPr>
                <w:rFonts w:hint="eastAsia"/>
                <w:color w:val="auto"/>
                <w:sz w:val="24"/>
                <w:highlight w:val="none"/>
              </w:rPr>
              <w:t>华龙芯智慧数字能力中台安全评估服务</w:t>
            </w:r>
          </w:p>
        </w:tc>
        <w:tc>
          <w:tcPr>
            <w:tcW w:w="829" w:type="dxa"/>
            <w:shd w:val="clear" w:color="auto" w:fill="auto"/>
            <w:noWrap/>
            <w:vAlign w:val="center"/>
          </w:tcPr>
          <w:p w14:paraId="32DD9F95">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447724C6">
            <w:pPr>
              <w:widowControl/>
              <w:spacing w:line="400" w:lineRule="exact"/>
              <w:ind w:firstLine="0" w:firstLineChars="0"/>
              <w:jc w:val="center"/>
              <w:rPr>
                <w:color w:val="auto"/>
                <w:sz w:val="24"/>
                <w:highlight w:val="none"/>
              </w:rPr>
            </w:pPr>
            <w:r>
              <w:rPr>
                <w:rFonts w:hint="eastAsia"/>
                <w:color w:val="auto"/>
                <w:sz w:val="24"/>
                <w:highlight w:val="none"/>
              </w:rPr>
              <w:t>1</w:t>
            </w:r>
          </w:p>
        </w:tc>
      </w:tr>
      <w:tr w14:paraId="31CF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2B39F194">
            <w:pPr>
              <w:widowControl/>
              <w:ind w:firstLine="0" w:firstLineChars="0"/>
              <w:jc w:val="center"/>
              <w:rPr>
                <w:b/>
                <w:bCs/>
                <w:color w:val="auto"/>
                <w:kern w:val="0"/>
                <w:sz w:val="24"/>
                <w:highlight w:val="none"/>
              </w:rPr>
            </w:pPr>
          </w:p>
        </w:tc>
        <w:tc>
          <w:tcPr>
            <w:tcW w:w="977" w:type="dxa"/>
            <w:shd w:val="clear" w:color="auto" w:fill="auto"/>
            <w:noWrap/>
            <w:vAlign w:val="center"/>
          </w:tcPr>
          <w:p w14:paraId="4C1263E9">
            <w:pPr>
              <w:widowControl/>
              <w:spacing w:line="400" w:lineRule="exact"/>
              <w:ind w:firstLine="0" w:firstLineChars="0"/>
              <w:jc w:val="center"/>
              <w:rPr>
                <w:color w:val="auto"/>
                <w:sz w:val="24"/>
                <w:highlight w:val="none"/>
              </w:rPr>
            </w:pPr>
            <w:r>
              <w:rPr>
                <w:rFonts w:hint="eastAsia"/>
                <w:color w:val="auto"/>
                <w:sz w:val="24"/>
                <w:highlight w:val="none"/>
              </w:rPr>
              <w:t>11</w:t>
            </w:r>
          </w:p>
        </w:tc>
        <w:tc>
          <w:tcPr>
            <w:tcW w:w="4849" w:type="dxa"/>
            <w:shd w:val="clear" w:color="auto" w:fill="auto"/>
            <w:noWrap/>
            <w:vAlign w:val="center"/>
          </w:tcPr>
          <w:p w14:paraId="36E92B43">
            <w:pPr>
              <w:widowControl/>
              <w:spacing w:line="400" w:lineRule="exact"/>
              <w:ind w:firstLine="0" w:firstLineChars="0"/>
              <w:jc w:val="left"/>
              <w:rPr>
                <w:color w:val="auto"/>
                <w:sz w:val="24"/>
                <w:highlight w:val="none"/>
              </w:rPr>
            </w:pPr>
            <w:r>
              <w:rPr>
                <w:rFonts w:hint="eastAsia"/>
                <w:color w:val="auto"/>
                <w:sz w:val="24"/>
                <w:highlight w:val="none"/>
              </w:rPr>
              <w:t>华龙芯智慧数字能力中台渗透测试服务</w:t>
            </w:r>
          </w:p>
        </w:tc>
        <w:tc>
          <w:tcPr>
            <w:tcW w:w="829" w:type="dxa"/>
            <w:shd w:val="clear" w:color="auto" w:fill="auto"/>
            <w:noWrap/>
            <w:vAlign w:val="center"/>
          </w:tcPr>
          <w:p w14:paraId="0C3622BC">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309A60A6">
            <w:pPr>
              <w:widowControl/>
              <w:spacing w:line="400" w:lineRule="exact"/>
              <w:ind w:firstLine="0" w:firstLineChars="0"/>
              <w:jc w:val="center"/>
              <w:rPr>
                <w:color w:val="auto"/>
                <w:sz w:val="24"/>
                <w:highlight w:val="none"/>
              </w:rPr>
            </w:pPr>
            <w:r>
              <w:rPr>
                <w:rFonts w:hint="eastAsia"/>
                <w:color w:val="auto"/>
                <w:sz w:val="24"/>
                <w:highlight w:val="none"/>
              </w:rPr>
              <w:t>1</w:t>
            </w:r>
          </w:p>
        </w:tc>
      </w:tr>
      <w:tr w14:paraId="257A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813" w:type="dxa"/>
            <w:vMerge w:val="continue"/>
            <w:vAlign w:val="center"/>
          </w:tcPr>
          <w:p w14:paraId="21D4B692">
            <w:pPr>
              <w:widowControl/>
              <w:ind w:firstLine="0" w:firstLineChars="0"/>
              <w:jc w:val="center"/>
              <w:rPr>
                <w:b/>
                <w:bCs/>
                <w:color w:val="auto"/>
                <w:kern w:val="0"/>
                <w:sz w:val="24"/>
                <w:highlight w:val="none"/>
              </w:rPr>
            </w:pPr>
          </w:p>
        </w:tc>
        <w:tc>
          <w:tcPr>
            <w:tcW w:w="977" w:type="dxa"/>
            <w:shd w:val="clear" w:color="auto" w:fill="auto"/>
            <w:noWrap/>
            <w:vAlign w:val="center"/>
          </w:tcPr>
          <w:p w14:paraId="4B993BF5">
            <w:pPr>
              <w:widowControl/>
              <w:spacing w:line="400" w:lineRule="exact"/>
              <w:ind w:firstLine="0" w:firstLineChars="0"/>
              <w:jc w:val="center"/>
              <w:rPr>
                <w:color w:val="auto"/>
                <w:sz w:val="24"/>
                <w:highlight w:val="none"/>
              </w:rPr>
            </w:pPr>
            <w:r>
              <w:rPr>
                <w:rFonts w:hint="eastAsia"/>
                <w:color w:val="auto"/>
                <w:sz w:val="24"/>
                <w:highlight w:val="none"/>
              </w:rPr>
              <w:t>12</w:t>
            </w:r>
          </w:p>
        </w:tc>
        <w:tc>
          <w:tcPr>
            <w:tcW w:w="4849" w:type="dxa"/>
            <w:shd w:val="clear" w:color="auto" w:fill="auto"/>
            <w:noWrap/>
            <w:vAlign w:val="center"/>
          </w:tcPr>
          <w:p w14:paraId="41767F3D">
            <w:pPr>
              <w:widowControl/>
              <w:spacing w:line="400" w:lineRule="exact"/>
              <w:ind w:firstLine="0" w:firstLineChars="0"/>
              <w:jc w:val="left"/>
              <w:rPr>
                <w:color w:val="auto"/>
                <w:sz w:val="24"/>
                <w:highlight w:val="none"/>
              </w:rPr>
            </w:pPr>
            <w:r>
              <w:rPr>
                <w:rFonts w:hint="eastAsia"/>
                <w:color w:val="auto"/>
                <w:sz w:val="24"/>
                <w:highlight w:val="none"/>
              </w:rPr>
              <w:t>事件应急响应服务</w:t>
            </w:r>
          </w:p>
        </w:tc>
        <w:tc>
          <w:tcPr>
            <w:tcW w:w="829" w:type="dxa"/>
            <w:shd w:val="clear" w:color="auto" w:fill="auto"/>
            <w:noWrap/>
            <w:vAlign w:val="center"/>
          </w:tcPr>
          <w:p w14:paraId="0B526C22">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298B1081">
            <w:pPr>
              <w:widowControl/>
              <w:spacing w:line="400" w:lineRule="exact"/>
              <w:ind w:firstLine="0" w:firstLineChars="0"/>
              <w:jc w:val="center"/>
              <w:rPr>
                <w:color w:val="auto"/>
                <w:sz w:val="24"/>
                <w:highlight w:val="none"/>
              </w:rPr>
            </w:pPr>
            <w:r>
              <w:rPr>
                <w:rFonts w:hint="eastAsia"/>
                <w:color w:val="auto"/>
                <w:sz w:val="24"/>
                <w:highlight w:val="none"/>
              </w:rPr>
              <w:t>2</w:t>
            </w:r>
          </w:p>
        </w:tc>
      </w:tr>
      <w:tr w14:paraId="3137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813" w:type="dxa"/>
            <w:vAlign w:val="center"/>
          </w:tcPr>
          <w:p w14:paraId="791CDF8E">
            <w:pPr>
              <w:widowControl/>
              <w:ind w:firstLine="0" w:firstLineChars="0"/>
              <w:jc w:val="center"/>
              <w:rPr>
                <w:b/>
                <w:bCs/>
                <w:color w:val="auto"/>
                <w:kern w:val="0"/>
                <w:sz w:val="24"/>
                <w:highlight w:val="none"/>
              </w:rPr>
            </w:pPr>
          </w:p>
        </w:tc>
        <w:tc>
          <w:tcPr>
            <w:tcW w:w="977" w:type="dxa"/>
            <w:shd w:val="clear" w:color="auto" w:fill="auto"/>
            <w:noWrap/>
            <w:vAlign w:val="center"/>
          </w:tcPr>
          <w:p w14:paraId="1CCB8522">
            <w:pPr>
              <w:widowControl/>
              <w:spacing w:line="400" w:lineRule="exact"/>
              <w:ind w:firstLine="0" w:firstLineChars="0"/>
              <w:jc w:val="center"/>
              <w:rPr>
                <w:color w:val="auto"/>
                <w:sz w:val="24"/>
                <w:highlight w:val="none"/>
              </w:rPr>
            </w:pPr>
            <w:r>
              <w:rPr>
                <w:rFonts w:hint="eastAsia"/>
                <w:color w:val="auto"/>
                <w:sz w:val="24"/>
                <w:highlight w:val="none"/>
              </w:rPr>
              <w:t>13</w:t>
            </w:r>
          </w:p>
        </w:tc>
        <w:tc>
          <w:tcPr>
            <w:tcW w:w="4849" w:type="dxa"/>
            <w:shd w:val="clear" w:color="auto" w:fill="auto"/>
            <w:noWrap/>
            <w:vAlign w:val="center"/>
          </w:tcPr>
          <w:p w14:paraId="2C28674A">
            <w:pPr>
              <w:widowControl/>
              <w:spacing w:line="400" w:lineRule="exact"/>
              <w:ind w:firstLine="0" w:firstLineChars="0"/>
              <w:jc w:val="left"/>
              <w:rPr>
                <w:color w:val="auto"/>
                <w:sz w:val="24"/>
                <w:highlight w:val="none"/>
              </w:rPr>
            </w:pPr>
            <w:r>
              <w:rPr>
                <w:rFonts w:hint="eastAsia"/>
                <w:color w:val="auto"/>
                <w:sz w:val="24"/>
                <w:highlight w:val="none"/>
              </w:rPr>
              <w:t>应急演练</w:t>
            </w:r>
          </w:p>
        </w:tc>
        <w:tc>
          <w:tcPr>
            <w:tcW w:w="829" w:type="dxa"/>
            <w:shd w:val="clear" w:color="auto" w:fill="auto"/>
            <w:noWrap/>
            <w:vAlign w:val="center"/>
          </w:tcPr>
          <w:p w14:paraId="1D4B3D87">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801" w:type="dxa"/>
            <w:shd w:val="clear" w:color="auto" w:fill="auto"/>
            <w:noWrap/>
            <w:vAlign w:val="center"/>
          </w:tcPr>
          <w:p w14:paraId="1312D8AF">
            <w:pPr>
              <w:widowControl/>
              <w:spacing w:line="400" w:lineRule="exact"/>
              <w:ind w:firstLine="0" w:firstLineChars="0"/>
              <w:jc w:val="center"/>
              <w:rPr>
                <w:color w:val="auto"/>
                <w:sz w:val="24"/>
                <w:highlight w:val="none"/>
              </w:rPr>
            </w:pPr>
            <w:r>
              <w:rPr>
                <w:rFonts w:hint="eastAsia"/>
                <w:color w:val="auto"/>
                <w:sz w:val="24"/>
                <w:highlight w:val="none"/>
              </w:rPr>
              <w:t>1</w:t>
            </w:r>
          </w:p>
        </w:tc>
      </w:tr>
    </w:tbl>
    <w:p w14:paraId="0B9E76D1">
      <w:pPr>
        <w:numPr>
          <w:ilvl w:val="-1"/>
          <w:numId w:val="0"/>
        </w:numPr>
        <w:ind w:firstLine="560"/>
        <w:rPr>
          <w:rFonts w:ascii="方正黑体_GBK" w:eastAsia="方正黑体_GBK"/>
          <w:color w:val="auto"/>
          <w:szCs w:val="28"/>
          <w:highlight w:val="none"/>
        </w:rPr>
      </w:pPr>
      <w:r>
        <w:rPr>
          <w:rFonts w:hint="eastAsia" w:ascii="方正黑体_GBK" w:eastAsia="方正黑体_GBK"/>
          <w:color w:val="auto"/>
          <w:szCs w:val="28"/>
          <w:highlight w:val="none"/>
          <w:lang w:val="en-US" w:eastAsia="zh-CN"/>
        </w:rPr>
        <w:t>三、</w:t>
      </w:r>
      <w:r>
        <w:rPr>
          <w:rFonts w:ascii="方正黑体_GBK" w:eastAsia="方正黑体_GBK"/>
          <w:color w:val="auto"/>
          <w:szCs w:val="28"/>
          <w:highlight w:val="none"/>
        </w:rPr>
        <w:t>技术/服务要求</w:t>
      </w:r>
    </w:p>
    <w:p w14:paraId="2518547D">
      <w:pPr>
        <w:numPr>
          <w:ilvl w:val="0"/>
          <w:numId w:val="2"/>
        </w:numPr>
        <w:ind w:firstLine="560"/>
        <w:rPr>
          <w:color w:val="auto"/>
          <w:highlight w:val="none"/>
        </w:rPr>
      </w:pPr>
      <w:r>
        <w:rPr>
          <w:rFonts w:hint="eastAsia"/>
          <w:color w:val="auto"/>
          <w:highlight w:val="none"/>
        </w:rPr>
        <w:t>等级保护测评服务</w:t>
      </w:r>
    </w:p>
    <w:p w14:paraId="29CCC276">
      <w:pPr>
        <w:ind w:firstLine="560"/>
        <w:rPr>
          <w:color w:val="auto"/>
          <w:highlight w:val="none"/>
        </w:rPr>
      </w:pPr>
      <w:r>
        <w:rPr>
          <w:rFonts w:hint="eastAsia"/>
          <w:color w:val="auto"/>
          <w:highlight w:val="none"/>
        </w:rPr>
        <w:t>依照GB/T28448-2019《信息安全技术信息系统安全等级保护测评要求》和GB/T 28449-2018《信息安全技术信息系统安全等级保护测评过程指南》对信息系统进行等级保护测评，测评的内容包括但不限于被测系统自身以及与被测系统运行密不可分的物理环境、网络环境、主机及相关系统、安全管理制度等，需出具《信息安全等级保护测评报告</w:t>
      </w:r>
      <w:r>
        <w:rPr>
          <w:rFonts w:hint="eastAsia"/>
          <w:color w:val="auto"/>
          <w:highlight w:val="none"/>
          <w:lang w:eastAsia="zh-CN"/>
        </w:rPr>
        <w:t>》《</w:t>
      </w:r>
      <w:r>
        <w:rPr>
          <w:rFonts w:hint="eastAsia"/>
          <w:color w:val="auto"/>
          <w:highlight w:val="none"/>
        </w:rPr>
        <w:t>系统标准对比差距说明与整改建议》。</w:t>
      </w:r>
    </w:p>
    <w:p w14:paraId="4BBD6EF2">
      <w:pPr>
        <w:numPr>
          <w:ilvl w:val="0"/>
          <w:numId w:val="2"/>
        </w:numPr>
        <w:ind w:firstLine="560"/>
        <w:rPr>
          <w:color w:val="auto"/>
          <w:highlight w:val="none"/>
        </w:rPr>
      </w:pPr>
      <w:r>
        <w:rPr>
          <w:rFonts w:hint="eastAsia"/>
          <w:color w:val="auto"/>
          <w:highlight w:val="none"/>
        </w:rPr>
        <w:t>渗透测试服务</w:t>
      </w:r>
    </w:p>
    <w:p w14:paraId="1C415F3F">
      <w:pPr>
        <w:numPr>
          <w:ilvl w:val="255"/>
          <w:numId w:val="0"/>
        </w:numPr>
        <w:ind w:firstLine="560" w:firstLineChars="200"/>
        <w:rPr>
          <w:color w:val="auto"/>
          <w:highlight w:val="none"/>
        </w:rPr>
      </w:pPr>
      <w:r>
        <w:rPr>
          <w:rFonts w:hint="eastAsia"/>
          <w:color w:val="auto"/>
          <w:highlight w:val="none"/>
        </w:rPr>
        <w:t>中选人应具有较强的安全服务能力，能够利用测评、评估、漏洞扫描等方法发现系统安全隐患并提出合理的整改建议。对系统漏洞能够及时定位，并对后续修复的情况进行验证，以达到公安部对项目测评过程中漏洞修复的基本要求。能完全模拟黑客可能使用的攻击技术和漏洞发现技术，对目标系统的安全做深入的探测，发现系统最脆弱的环节。其内容包含但不限于：应用服务器渗透测试、应用软件渗透测试、数据库渗透测试、网络设备渗透测试。出具分析报告，协助整改后完成回归测试。需出具《渗透测试报告》。</w:t>
      </w:r>
    </w:p>
    <w:p w14:paraId="1FE0A679">
      <w:pPr>
        <w:numPr>
          <w:ilvl w:val="0"/>
          <w:numId w:val="2"/>
        </w:numPr>
        <w:ind w:firstLine="560"/>
        <w:rPr>
          <w:color w:val="auto"/>
          <w:highlight w:val="none"/>
        </w:rPr>
      </w:pPr>
      <w:r>
        <w:rPr>
          <w:rFonts w:hint="eastAsia"/>
          <w:color w:val="auto"/>
          <w:highlight w:val="none"/>
        </w:rPr>
        <w:t>安全巡检及安全扫描服务</w:t>
      </w:r>
    </w:p>
    <w:p w14:paraId="57C451EE">
      <w:pPr>
        <w:numPr>
          <w:ilvl w:val="255"/>
          <w:numId w:val="0"/>
        </w:numPr>
        <w:ind w:firstLine="560" w:firstLineChars="200"/>
        <w:rPr>
          <w:color w:val="auto"/>
          <w:highlight w:val="none"/>
        </w:rPr>
      </w:pPr>
      <w:r>
        <w:rPr>
          <w:rFonts w:hint="eastAsia"/>
          <w:color w:val="auto"/>
          <w:highlight w:val="none"/>
        </w:rPr>
        <w:t>对信息系统定期检测（工具扫描及安全专家人工检测），及时发现信息系统（网络架构、网络设备、服务器主机、操作系统、数据库和采购人账号、口令等安全对象）存在的各种安全隐患，跟踪系统运行状态。对存在的安全隐患协助采购人整改，并完成回归检测。需出具《安全巡检报告》，每季度一次服务。</w:t>
      </w:r>
    </w:p>
    <w:p w14:paraId="4EB8DC3B">
      <w:pPr>
        <w:numPr>
          <w:ilvl w:val="0"/>
          <w:numId w:val="2"/>
        </w:numPr>
        <w:ind w:firstLine="560"/>
        <w:rPr>
          <w:color w:val="auto"/>
          <w:highlight w:val="none"/>
        </w:rPr>
      </w:pPr>
      <w:r>
        <w:rPr>
          <w:rFonts w:hint="eastAsia"/>
          <w:color w:val="auto"/>
          <w:highlight w:val="none"/>
        </w:rPr>
        <w:t>网站监测预警</w:t>
      </w:r>
    </w:p>
    <w:p w14:paraId="5930F9E5">
      <w:pPr>
        <w:ind w:firstLine="560"/>
        <w:rPr>
          <w:color w:val="auto"/>
          <w:highlight w:val="none"/>
        </w:rPr>
      </w:pPr>
      <w:r>
        <w:rPr>
          <w:rFonts w:hint="eastAsia"/>
          <w:color w:val="auto"/>
          <w:highlight w:val="none"/>
        </w:rPr>
        <w:t>采用网站系统实时监控预警平台，对客户网站系统的可用性、挂马、篡改、SQL注入等常见信息安全事件进行监测，并及时预警通告。需每月出具《网站安全预警通告》。</w:t>
      </w:r>
    </w:p>
    <w:p w14:paraId="6A353BFB">
      <w:pPr>
        <w:numPr>
          <w:ilvl w:val="0"/>
          <w:numId w:val="2"/>
        </w:numPr>
        <w:ind w:firstLine="560"/>
        <w:rPr>
          <w:color w:val="auto"/>
          <w:highlight w:val="none"/>
        </w:rPr>
      </w:pPr>
      <w:r>
        <w:rPr>
          <w:rFonts w:hint="eastAsia"/>
          <w:color w:val="auto"/>
          <w:highlight w:val="none"/>
        </w:rPr>
        <w:t>事件应急响应服务</w:t>
      </w:r>
    </w:p>
    <w:p w14:paraId="3BB4A351">
      <w:pPr>
        <w:ind w:firstLine="560"/>
        <w:rPr>
          <w:color w:val="auto"/>
          <w:highlight w:val="none"/>
        </w:rPr>
      </w:pPr>
      <w:r>
        <w:rPr>
          <w:rFonts w:hint="eastAsia"/>
          <w:color w:val="auto"/>
          <w:highlight w:val="none"/>
        </w:rPr>
        <w:t>提供信息安全事件快速响应服务，及时处理安全问题，分析安全事件，提供调查与追踪及取证服务。协助开展应急演练工作，调整应急预案。</w:t>
      </w:r>
    </w:p>
    <w:p w14:paraId="50FB30D4">
      <w:pPr>
        <w:numPr>
          <w:ilvl w:val="0"/>
          <w:numId w:val="2"/>
        </w:numPr>
        <w:ind w:firstLine="560"/>
        <w:rPr>
          <w:color w:val="auto"/>
          <w:highlight w:val="none"/>
        </w:rPr>
      </w:pPr>
      <w:r>
        <w:rPr>
          <w:rFonts w:hint="eastAsia"/>
          <w:color w:val="auto"/>
          <w:highlight w:val="none"/>
        </w:rPr>
        <w:t>安全评估服务</w:t>
      </w:r>
    </w:p>
    <w:p w14:paraId="1D90737B">
      <w:pPr>
        <w:ind w:firstLine="560"/>
        <w:rPr>
          <w:color w:val="auto"/>
          <w:highlight w:val="none"/>
        </w:rPr>
      </w:pPr>
      <w:r>
        <w:rPr>
          <w:rFonts w:hint="eastAsia"/>
          <w:color w:val="auto"/>
          <w:highlight w:val="none"/>
        </w:rPr>
        <w:t>对信息资产所面临的威胁、存在的弱点、造成的影响，以及三者综合作用所带来风险的可能性进行评估，得出科学、可量化的风险等级评价，从而进行风险管理及资源优化。需出具《安全评估报告》。</w:t>
      </w:r>
    </w:p>
    <w:p w14:paraId="2C2C07AD">
      <w:pPr>
        <w:ind w:firstLine="560"/>
        <w:rPr>
          <w:color w:val="auto"/>
          <w:highlight w:val="none"/>
        </w:rPr>
      </w:pPr>
      <w:r>
        <w:rPr>
          <w:rFonts w:hint="eastAsia"/>
          <w:color w:val="auto"/>
          <w:highlight w:val="none"/>
        </w:rPr>
        <w:t>7.为采购人被测信息系统建立可靠的风险评估和整改机制、可行的安全防护措施、完善的信息安全管理体系，确保安全防护体系的有效性，符合信息安全等级保护要求。</w:t>
      </w:r>
    </w:p>
    <w:p w14:paraId="03CBA535">
      <w:pPr>
        <w:ind w:firstLine="560"/>
        <w:rPr>
          <w:color w:val="auto"/>
          <w:highlight w:val="none"/>
        </w:rPr>
      </w:pPr>
      <w:r>
        <w:rPr>
          <w:rFonts w:hint="eastAsia"/>
          <w:color w:val="auto"/>
          <w:highlight w:val="none"/>
        </w:rPr>
        <w:t>8</w:t>
      </w:r>
      <w:r>
        <w:rPr>
          <w:color w:val="auto"/>
          <w:highlight w:val="none"/>
        </w:rPr>
        <w:t>.</w:t>
      </w:r>
      <w:r>
        <w:rPr>
          <w:rFonts w:hint="eastAsia"/>
          <w:color w:val="auto"/>
          <w:highlight w:val="none"/>
        </w:rPr>
        <w:t>中选人须具有相关服务能力</w:t>
      </w:r>
      <w:r>
        <w:rPr>
          <w:rFonts w:hint="eastAsia"/>
          <w:color w:val="auto"/>
          <w:highlight w:val="none"/>
          <w:lang w:eastAsia="zh-CN"/>
        </w:rPr>
        <w:t>，</w:t>
      </w:r>
      <w:r>
        <w:rPr>
          <w:rFonts w:hint="eastAsia"/>
          <w:color w:val="auto"/>
          <w:highlight w:val="none"/>
        </w:rPr>
        <w:t xml:space="preserve">提供数据安全相关咨询服务，以满足采购人下一步数据安全合规工作的开展，以及需落实国家数据安全协调机制相关工作要求和采购人数据安全保护义务。 </w:t>
      </w:r>
    </w:p>
    <w:p w14:paraId="5DD7615E">
      <w:pPr>
        <w:ind w:firstLine="560"/>
        <w:rPr>
          <w:color w:val="auto"/>
          <w:highlight w:val="none"/>
        </w:rPr>
      </w:pPr>
      <w:r>
        <w:rPr>
          <w:rFonts w:hint="eastAsia"/>
          <w:color w:val="auto"/>
          <w:highlight w:val="none"/>
        </w:rPr>
        <w:t>9</w:t>
      </w:r>
      <w:r>
        <w:rPr>
          <w:color w:val="auto"/>
          <w:highlight w:val="none"/>
        </w:rPr>
        <w:t>.</w:t>
      </w:r>
      <w:r>
        <w:rPr>
          <w:rFonts w:hint="eastAsia"/>
          <w:color w:val="auto"/>
          <w:highlight w:val="none"/>
        </w:rPr>
        <w:t>中选人在服务实施过程中</w:t>
      </w:r>
      <w:r>
        <w:rPr>
          <w:rFonts w:hint="eastAsia"/>
          <w:color w:val="auto"/>
          <w:highlight w:val="none"/>
          <w:lang w:eastAsia="zh-CN"/>
        </w:rPr>
        <w:t>，</w:t>
      </w:r>
      <w:r>
        <w:rPr>
          <w:rFonts w:hint="eastAsia"/>
          <w:color w:val="auto"/>
          <w:highlight w:val="none"/>
        </w:rPr>
        <w:t>对项目进行规范化管理，确保项目服务质量可控和过程文档完整。针对服务中发现的的安全问题，</w:t>
      </w:r>
      <w:r>
        <w:rPr>
          <w:rFonts w:hint="eastAsia"/>
          <w:color w:val="auto"/>
          <w:highlight w:val="none"/>
          <w:lang w:val="en-US" w:eastAsia="zh-CN"/>
        </w:rPr>
        <w:t>中选人</w:t>
      </w:r>
      <w:r>
        <w:rPr>
          <w:rFonts w:hint="eastAsia"/>
          <w:color w:val="auto"/>
          <w:highlight w:val="none"/>
        </w:rPr>
        <w:t>需通过专业的技术手段进行合理分析，正确评估风险，协助采购人完成整改工作；提供信息安全规划、方针、策略和管理制度体系咨询服务</w:t>
      </w:r>
      <w:r>
        <w:rPr>
          <w:rFonts w:hint="eastAsia"/>
          <w:color w:val="auto"/>
          <w:highlight w:val="none"/>
          <w:lang w:eastAsia="zh-CN"/>
        </w:rPr>
        <w:t>，</w:t>
      </w:r>
      <w:r>
        <w:rPr>
          <w:rFonts w:hint="eastAsia"/>
          <w:color w:val="auto"/>
          <w:highlight w:val="none"/>
        </w:rPr>
        <w:t xml:space="preserve">配合对被检测系统的安全加固提供技术指导。 </w:t>
      </w:r>
    </w:p>
    <w:p w14:paraId="6A7D6427">
      <w:pPr>
        <w:widowControl/>
        <w:ind w:firstLine="560"/>
        <w:rPr>
          <w:color w:val="auto"/>
          <w:highlight w:val="none"/>
        </w:rPr>
      </w:pPr>
      <w:r>
        <w:rPr>
          <w:color w:val="auto"/>
          <w:highlight w:val="none"/>
        </w:rPr>
        <w:t>10.中选人应配备专业</w:t>
      </w:r>
      <w:r>
        <w:rPr>
          <w:rFonts w:hint="eastAsia"/>
          <w:color w:val="auto"/>
          <w:highlight w:val="none"/>
        </w:rPr>
        <w:t>的服务团队：</w:t>
      </w:r>
      <w:r>
        <w:rPr>
          <w:color w:val="auto"/>
          <w:highlight w:val="none"/>
        </w:rPr>
        <w:t>中选人须组建专业、稳定的专项服务团队，配置具备相应从业经验的专业技术人员，团队人员不得兼职多个同类项目，确保本项目服务质量，具体岗位配置及基本要求如下</w:t>
      </w:r>
      <w:r>
        <w:rPr>
          <w:rFonts w:hint="eastAsia"/>
          <w:color w:val="auto"/>
          <w:highlight w:val="none"/>
        </w:rPr>
        <w:t>（拟派项目总负责人与项目经理不得兼任）</w:t>
      </w:r>
      <w:r>
        <w:rPr>
          <w:color w:val="auto"/>
          <w:highlight w:val="none"/>
        </w:rPr>
        <w:t>：</w:t>
      </w:r>
    </w:p>
    <w:p w14:paraId="7BA6FBEF">
      <w:pPr>
        <w:widowControl/>
        <w:numPr>
          <w:ilvl w:val="0"/>
          <w:numId w:val="3"/>
        </w:numPr>
        <w:ind w:firstLineChars="0"/>
        <w:rPr>
          <w:color w:val="auto"/>
          <w:highlight w:val="none"/>
        </w:rPr>
      </w:pPr>
      <w:r>
        <w:rPr>
          <w:rFonts w:hint="eastAsia"/>
          <w:color w:val="auto"/>
          <w:highlight w:val="none"/>
        </w:rPr>
        <w:t>项目总负责人（1名）：为本项目测评工作总负责人，全面统筹项目测评实施、技术质量管控、成果文件审核、重大问题研判，对项目测评结论的合规性、准确性负总责；具备网络安全测评相关丰富项目经验，能够牵头处理项目实施过程中的重大技术、协调问题。</w:t>
      </w:r>
    </w:p>
    <w:p w14:paraId="501C099E">
      <w:pPr>
        <w:widowControl/>
        <w:numPr>
          <w:ilvl w:val="0"/>
          <w:numId w:val="3"/>
        </w:numPr>
        <w:ind w:firstLineChars="0"/>
        <w:rPr>
          <w:color w:val="auto"/>
          <w:highlight w:val="none"/>
        </w:rPr>
      </w:pPr>
      <w:r>
        <w:rPr>
          <w:rFonts w:hint="eastAsia"/>
          <w:color w:val="auto"/>
          <w:highlight w:val="none"/>
        </w:rPr>
        <w:t>项目经理（1名）：负责本项目整体项目管理工作，统筹项目计划编制、进度管控、内外沟通协调、资料归集、项目风险管控、甲方需求对接，把控项目全流程交付节点，保障项目按照合同及招标文件要求按期落地。</w:t>
      </w:r>
    </w:p>
    <w:p w14:paraId="5EA9CDBC">
      <w:pPr>
        <w:widowControl/>
        <w:numPr>
          <w:ilvl w:val="0"/>
          <w:numId w:val="3"/>
        </w:numPr>
        <w:ind w:firstLineChars="0"/>
        <w:rPr>
          <w:color w:val="auto"/>
          <w:highlight w:val="none"/>
        </w:rPr>
      </w:pPr>
      <w:r>
        <w:rPr>
          <w:rFonts w:hint="eastAsia"/>
          <w:color w:val="auto"/>
          <w:highlight w:val="none"/>
        </w:rPr>
        <w:t>渗透测试负责人（1名）：牵头负责本项目渗透测试工作，制定渗透测试实施方案，组织开展模拟攻防、漏洞挖掘、风险验证工作，对渗透测试结果进行复核研判，输出渗透测试成果，梳理安全风险点并提供技术分析意见。</w:t>
      </w:r>
    </w:p>
    <w:p w14:paraId="33468F3F">
      <w:pPr>
        <w:widowControl/>
        <w:numPr>
          <w:ilvl w:val="0"/>
          <w:numId w:val="3"/>
        </w:numPr>
        <w:ind w:firstLineChars="0"/>
        <w:rPr>
          <w:color w:val="auto"/>
          <w:highlight w:val="none"/>
        </w:rPr>
      </w:pPr>
      <w:r>
        <w:rPr>
          <w:rFonts w:hint="eastAsia"/>
          <w:color w:val="auto"/>
          <w:highlight w:val="none"/>
        </w:rPr>
        <w:t>项目组测评人员（不少于5人）：配合开展现场测评、工具检测、访谈核查、资料核验、原始证据记录、底稿编制等相关技术工作，完成各分项测评任务，支撑项目各项报告材料编制，服从项目总负责人、项目经理工作安排。</w:t>
      </w:r>
    </w:p>
    <w:p w14:paraId="54760944">
      <w:pPr>
        <w:widowControl/>
        <w:numPr>
          <w:ilvl w:val="255"/>
          <w:numId w:val="0"/>
        </w:numPr>
        <w:ind w:firstLine="560"/>
        <w:rPr>
          <w:color w:val="auto"/>
          <w:highlight w:val="none"/>
        </w:rPr>
      </w:pPr>
      <w:r>
        <w:rPr>
          <w:rFonts w:hint="eastAsia"/>
          <w:color w:val="auto"/>
          <w:highlight w:val="none"/>
          <w:lang w:val="en-US" w:eastAsia="zh-CN"/>
        </w:rPr>
        <w:t>参选人提供的服务</w:t>
      </w:r>
      <w:r>
        <w:rPr>
          <w:color w:val="auto"/>
          <w:highlight w:val="none"/>
        </w:rPr>
        <w:t>团队须为</w:t>
      </w:r>
      <w:r>
        <w:rPr>
          <w:rFonts w:hint="eastAsia"/>
          <w:color w:val="auto"/>
          <w:highlight w:val="none"/>
          <w:lang w:val="en-US" w:eastAsia="zh-CN"/>
        </w:rPr>
        <w:t>参选人的</w:t>
      </w:r>
      <w:r>
        <w:rPr>
          <w:color w:val="auto"/>
          <w:highlight w:val="none"/>
        </w:rPr>
        <w:t>在职人员，</w:t>
      </w:r>
      <w:r>
        <w:rPr>
          <w:rFonts w:hint="eastAsia"/>
          <w:color w:val="auto"/>
          <w:highlight w:val="none"/>
          <w:lang w:val="en-US" w:eastAsia="zh-CN"/>
        </w:rPr>
        <w:t>并</w:t>
      </w:r>
      <w:r>
        <w:rPr>
          <w:color w:val="auto"/>
          <w:highlight w:val="none"/>
        </w:rPr>
        <w:t>提供</w:t>
      </w:r>
      <w:r>
        <w:rPr>
          <w:rFonts w:hint="eastAsia"/>
          <w:color w:val="auto"/>
          <w:highlight w:val="none"/>
          <w:lang w:val="en-US" w:eastAsia="zh-CN"/>
        </w:rPr>
        <w:t>本项目</w:t>
      </w:r>
      <w:r>
        <w:rPr>
          <w:rFonts w:hint="eastAsia"/>
          <w:color w:val="auto"/>
          <w:highlight w:val="none"/>
        </w:rPr>
        <w:t>比选</w:t>
      </w:r>
      <w:r>
        <w:rPr>
          <w:color w:val="auto"/>
          <w:highlight w:val="none"/>
        </w:rPr>
        <w:t>截止时间前【6个月内任意1个月】缴纳的社保证明材料</w:t>
      </w:r>
      <w:r>
        <w:rPr>
          <w:rFonts w:hint="eastAsia"/>
          <w:color w:val="auto"/>
          <w:highlight w:val="none"/>
        </w:rPr>
        <w:t>。</w:t>
      </w:r>
      <w:r>
        <w:rPr>
          <w:color w:val="auto"/>
          <w:highlight w:val="none"/>
        </w:rPr>
        <w:br w:type="page"/>
      </w:r>
    </w:p>
    <w:bookmarkEnd w:id="24"/>
    <w:bookmarkEnd w:id="25"/>
    <w:bookmarkEnd w:id="26"/>
    <w:bookmarkEnd w:id="27"/>
    <w:bookmarkEnd w:id="28"/>
    <w:bookmarkEnd w:id="29"/>
    <w:bookmarkEnd w:id="30"/>
    <w:bookmarkEnd w:id="37"/>
    <w:bookmarkEnd w:id="38"/>
    <w:p w14:paraId="7D072C73">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39" w:name="_Toc194572017"/>
      <w:bookmarkStart w:id="40" w:name="_Toc22650"/>
      <w:bookmarkStart w:id="41" w:name="_Toc7095"/>
      <w:bookmarkStart w:id="42" w:name="_Toc14656"/>
      <w:bookmarkStart w:id="43" w:name="_Toc105081908"/>
      <w:bookmarkStart w:id="44" w:name="_Toc2027"/>
      <w:bookmarkStart w:id="45" w:name="_Toc3496"/>
      <w:bookmarkStart w:id="46" w:name="_Toc32581"/>
      <w:r>
        <w:rPr>
          <w:rFonts w:ascii="Times New Roman" w:hAnsi="Times New Roman" w:eastAsia="方正小标宋_GBK" w:cs="Times New Roman"/>
          <w:b/>
          <w:bCs/>
          <w:color w:val="auto"/>
          <w:kern w:val="44"/>
          <w:sz w:val="32"/>
          <w:szCs w:val="44"/>
          <w:highlight w:val="none"/>
        </w:rPr>
        <w:t>第三篇  项目商务要求</w:t>
      </w:r>
      <w:bookmarkEnd w:id="39"/>
      <w:bookmarkEnd w:id="40"/>
      <w:bookmarkEnd w:id="41"/>
      <w:bookmarkEnd w:id="42"/>
      <w:bookmarkEnd w:id="43"/>
      <w:bookmarkEnd w:id="44"/>
      <w:bookmarkEnd w:id="45"/>
      <w:bookmarkEnd w:id="46"/>
    </w:p>
    <w:p w14:paraId="17414120">
      <w:pPr>
        <w:spacing w:line="550" w:lineRule="exact"/>
        <w:ind w:firstLine="560"/>
        <w:rPr>
          <w:rFonts w:ascii="Times New Roman" w:hAnsi="Times New Roman" w:eastAsia="方正黑体_GBK"/>
          <w:color w:val="auto"/>
          <w:szCs w:val="28"/>
          <w:highlight w:val="none"/>
        </w:rPr>
      </w:pPr>
      <w:bookmarkStart w:id="47" w:name="_Toc17826"/>
      <w:bookmarkStart w:id="48" w:name="_Toc267320049"/>
      <w:bookmarkStart w:id="49" w:name="_Toc4022"/>
      <w:bookmarkStart w:id="50" w:name="_Toc12492"/>
      <w:bookmarkStart w:id="51" w:name="_Toc20306"/>
      <w:bookmarkStart w:id="52" w:name="_Toc105081909"/>
      <w:bookmarkStart w:id="53" w:name="_Toc23064"/>
      <w:bookmarkStart w:id="54" w:name="_Hlk11539533"/>
      <w:r>
        <w:rPr>
          <w:rFonts w:ascii="Times New Roman" w:hAnsi="Times New Roman" w:eastAsia="方正黑体_GBK"/>
          <w:color w:val="auto"/>
          <w:szCs w:val="20"/>
          <w:highlight w:val="none"/>
        </w:rPr>
        <w:t>一、</w:t>
      </w:r>
      <w:bookmarkEnd w:id="47"/>
      <w:bookmarkEnd w:id="48"/>
      <w:r>
        <w:rPr>
          <w:rFonts w:ascii="Times New Roman" w:hAnsi="Times New Roman" w:eastAsia="方正黑体_GBK"/>
          <w:color w:val="auto"/>
          <w:szCs w:val="20"/>
          <w:highlight w:val="none"/>
        </w:rPr>
        <w:t>服务期、地点</w:t>
      </w:r>
      <w:bookmarkEnd w:id="49"/>
      <w:bookmarkEnd w:id="50"/>
      <w:bookmarkEnd w:id="51"/>
      <w:bookmarkEnd w:id="52"/>
      <w:bookmarkEnd w:id="53"/>
      <w:r>
        <w:rPr>
          <w:rFonts w:hint="eastAsia" w:ascii="Times New Roman" w:hAnsi="Times New Roman" w:eastAsia="方正黑体_GBK"/>
          <w:color w:val="auto"/>
          <w:szCs w:val="20"/>
          <w:highlight w:val="none"/>
        </w:rPr>
        <w:t>及验收方式</w:t>
      </w:r>
    </w:p>
    <w:p w14:paraId="3D6C1A27">
      <w:pPr>
        <w:spacing w:line="550" w:lineRule="exact"/>
        <w:ind w:firstLine="560"/>
        <w:rPr>
          <w:rFonts w:ascii="Times New Roman" w:hAnsi="Times New Roman"/>
          <w:color w:val="auto"/>
          <w:highlight w:val="none"/>
        </w:rPr>
      </w:pPr>
      <w:r>
        <w:rPr>
          <w:rFonts w:ascii="Times New Roman" w:hAnsi="Times New Roman"/>
          <w:color w:val="auto"/>
          <w:highlight w:val="none"/>
        </w:rPr>
        <w:t>（一）服务期：</w:t>
      </w:r>
      <w:r>
        <w:rPr>
          <w:rFonts w:hint="eastAsia"/>
          <w:color w:val="auto"/>
          <w:szCs w:val="28"/>
          <w:highlight w:val="none"/>
        </w:rPr>
        <w:t>合同签订之日起</w:t>
      </w:r>
      <w:r>
        <w:rPr>
          <w:color w:val="auto"/>
          <w:szCs w:val="28"/>
          <w:highlight w:val="none"/>
        </w:rPr>
        <w:t>1</w:t>
      </w:r>
      <w:r>
        <w:rPr>
          <w:rFonts w:hint="eastAsia"/>
          <w:color w:val="auto"/>
          <w:szCs w:val="28"/>
          <w:highlight w:val="none"/>
        </w:rPr>
        <w:t>年</w:t>
      </w:r>
    </w:p>
    <w:p w14:paraId="7734267A">
      <w:pPr>
        <w:spacing w:line="550" w:lineRule="exact"/>
        <w:ind w:firstLine="560"/>
        <w:rPr>
          <w:rFonts w:ascii="Times New Roman" w:hAnsi="Times New Roman"/>
          <w:color w:val="auto"/>
          <w:highlight w:val="none"/>
        </w:rPr>
      </w:pPr>
      <w:r>
        <w:rPr>
          <w:rFonts w:ascii="Times New Roman" w:hAnsi="Times New Roman"/>
          <w:color w:val="auto"/>
          <w:highlight w:val="none"/>
        </w:rPr>
        <w:t>（二）服务地点：</w:t>
      </w:r>
      <w:r>
        <w:rPr>
          <w:rFonts w:ascii="Times New Roman" w:hAnsi="Times New Roman"/>
          <w:color w:val="auto"/>
          <w:szCs w:val="28"/>
          <w:highlight w:val="none"/>
        </w:rPr>
        <w:t>采购人指定地点</w:t>
      </w:r>
    </w:p>
    <w:p w14:paraId="26B50E22">
      <w:pPr>
        <w:spacing w:line="550" w:lineRule="exact"/>
        <w:ind w:firstLine="560"/>
        <w:rPr>
          <w:rFonts w:ascii="Times New Roman" w:hAnsi="Times New Roman"/>
          <w:color w:val="auto"/>
          <w:szCs w:val="28"/>
          <w:highlight w:val="none"/>
        </w:rPr>
      </w:pPr>
      <w:r>
        <w:rPr>
          <w:rFonts w:ascii="Times New Roman" w:hAnsi="Times New Roman"/>
          <w:color w:val="auto"/>
          <w:highlight w:val="none"/>
        </w:rPr>
        <w:t>（三）</w:t>
      </w:r>
      <w:r>
        <w:rPr>
          <w:color w:val="auto"/>
          <w:szCs w:val="28"/>
          <w:highlight w:val="none"/>
        </w:rPr>
        <w:t>验收方式</w:t>
      </w:r>
      <w:r>
        <w:rPr>
          <w:rFonts w:hint="eastAsia"/>
          <w:color w:val="auto"/>
          <w:szCs w:val="28"/>
          <w:highlight w:val="none"/>
        </w:rPr>
        <w:t>（项目完结验收时需提供）</w:t>
      </w:r>
      <w:r>
        <w:rPr>
          <w:rFonts w:hint="eastAsia"/>
          <w:color w:val="auto"/>
          <w:szCs w:val="28"/>
          <w:highlight w:val="none"/>
          <w:lang w:eastAsia="zh-CN"/>
        </w:rPr>
        <w:t>：</w:t>
      </w:r>
    </w:p>
    <w:p w14:paraId="33A0A370">
      <w:pPr>
        <w:tabs>
          <w:tab w:val="left" w:pos="6930"/>
        </w:tabs>
        <w:adjustRightInd w:val="0"/>
        <w:snapToGrid w:val="0"/>
        <w:ind w:firstLine="560"/>
        <w:rPr>
          <w:color w:val="auto"/>
          <w:szCs w:val="28"/>
          <w:highlight w:val="none"/>
        </w:rPr>
      </w:pPr>
      <w:r>
        <w:rPr>
          <w:rFonts w:hint="eastAsia"/>
          <w:color w:val="auto"/>
          <w:szCs w:val="28"/>
          <w:highlight w:val="none"/>
        </w:rPr>
        <w:t>（1）华龙网门户网站系统三级等级保护测评报告</w:t>
      </w:r>
      <w:r>
        <w:rPr>
          <w:rFonts w:hint="eastAsia"/>
          <w:color w:val="auto"/>
          <w:highlight w:val="none"/>
        </w:rPr>
        <w:t>、系统标准对比差距说明与整改建议</w:t>
      </w:r>
      <w:r>
        <w:rPr>
          <w:rFonts w:hint="eastAsia"/>
          <w:color w:val="auto"/>
          <w:szCs w:val="28"/>
          <w:highlight w:val="none"/>
        </w:rPr>
        <w:t>（各</w:t>
      </w:r>
      <w:r>
        <w:rPr>
          <w:color w:val="auto"/>
          <w:szCs w:val="28"/>
          <w:highlight w:val="none"/>
        </w:rPr>
        <w:t>1</w:t>
      </w:r>
      <w:r>
        <w:rPr>
          <w:rFonts w:hint="eastAsia"/>
          <w:color w:val="auto"/>
          <w:szCs w:val="28"/>
          <w:highlight w:val="none"/>
        </w:rPr>
        <w:t>份）</w:t>
      </w:r>
    </w:p>
    <w:p w14:paraId="34AABBEE">
      <w:pPr>
        <w:tabs>
          <w:tab w:val="left" w:pos="6930"/>
        </w:tabs>
        <w:adjustRightInd w:val="0"/>
        <w:snapToGrid w:val="0"/>
        <w:ind w:firstLine="560"/>
        <w:rPr>
          <w:color w:val="auto"/>
          <w:szCs w:val="28"/>
          <w:highlight w:val="none"/>
        </w:rPr>
      </w:pPr>
      <w:r>
        <w:rPr>
          <w:rFonts w:hint="eastAsia"/>
          <w:color w:val="auto"/>
          <w:szCs w:val="28"/>
          <w:highlight w:val="none"/>
        </w:rPr>
        <w:t>（2）1+41重庆客户端集群云平台三级等级保护测评报告</w:t>
      </w:r>
      <w:r>
        <w:rPr>
          <w:rFonts w:hint="eastAsia"/>
          <w:color w:val="auto"/>
          <w:highlight w:val="none"/>
        </w:rPr>
        <w:t>、系统标准对比差距说明与整改建议</w:t>
      </w:r>
      <w:r>
        <w:rPr>
          <w:rFonts w:hint="eastAsia"/>
          <w:color w:val="auto"/>
          <w:szCs w:val="28"/>
          <w:highlight w:val="none"/>
        </w:rPr>
        <w:t>（各</w:t>
      </w:r>
      <w:r>
        <w:rPr>
          <w:color w:val="auto"/>
          <w:szCs w:val="28"/>
          <w:highlight w:val="none"/>
        </w:rPr>
        <w:t>1</w:t>
      </w:r>
      <w:r>
        <w:rPr>
          <w:rFonts w:hint="eastAsia"/>
          <w:color w:val="auto"/>
          <w:szCs w:val="28"/>
          <w:highlight w:val="none"/>
        </w:rPr>
        <w:t>份）</w:t>
      </w:r>
    </w:p>
    <w:p w14:paraId="14F874CD">
      <w:pPr>
        <w:tabs>
          <w:tab w:val="left" w:pos="6930"/>
        </w:tabs>
        <w:adjustRightInd w:val="0"/>
        <w:snapToGrid w:val="0"/>
        <w:ind w:firstLine="560"/>
        <w:rPr>
          <w:color w:val="auto"/>
          <w:szCs w:val="28"/>
          <w:highlight w:val="none"/>
        </w:rPr>
      </w:pPr>
      <w:r>
        <w:rPr>
          <w:rFonts w:hint="eastAsia"/>
          <w:color w:val="auto"/>
          <w:szCs w:val="28"/>
          <w:highlight w:val="none"/>
        </w:rPr>
        <w:t>（3）华龙芯智慧数字能力中台三级等级保护测评报告</w:t>
      </w:r>
      <w:r>
        <w:rPr>
          <w:rFonts w:hint="eastAsia"/>
          <w:color w:val="auto"/>
          <w:highlight w:val="none"/>
        </w:rPr>
        <w:t>、系统标准对比差距说明与整改建议</w:t>
      </w:r>
      <w:r>
        <w:rPr>
          <w:rFonts w:hint="eastAsia"/>
          <w:color w:val="auto"/>
          <w:szCs w:val="28"/>
          <w:highlight w:val="none"/>
        </w:rPr>
        <w:t>（各</w:t>
      </w:r>
      <w:r>
        <w:rPr>
          <w:color w:val="auto"/>
          <w:szCs w:val="28"/>
          <w:highlight w:val="none"/>
        </w:rPr>
        <w:t>1</w:t>
      </w:r>
      <w:r>
        <w:rPr>
          <w:rFonts w:hint="eastAsia"/>
          <w:color w:val="auto"/>
          <w:szCs w:val="28"/>
          <w:highlight w:val="none"/>
        </w:rPr>
        <w:t>份）</w:t>
      </w:r>
    </w:p>
    <w:p w14:paraId="1AA5A010">
      <w:pPr>
        <w:tabs>
          <w:tab w:val="left" w:pos="6930"/>
        </w:tabs>
        <w:adjustRightInd w:val="0"/>
        <w:snapToGrid w:val="0"/>
        <w:ind w:firstLine="560"/>
        <w:rPr>
          <w:color w:val="auto"/>
          <w:szCs w:val="28"/>
          <w:highlight w:val="none"/>
        </w:rPr>
      </w:pPr>
      <w:r>
        <w:rPr>
          <w:rFonts w:hint="eastAsia"/>
          <w:color w:val="auto"/>
          <w:szCs w:val="28"/>
          <w:highlight w:val="none"/>
        </w:rPr>
        <w:t>（4）华龙网门户网站系统渗透测试报告（</w:t>
      </w:r>
      <w:r>
        <w:rPr>
          <w:color w:val="auto"/>
          <w:szCs w:val="28"/>
          <w:highlight w:val="none"/>
        </w:rPr>
        <w:t>1</w:t>
      </w:r>
      <w:r>
        <w:rPr>
          <w:rFonts w:hint="eastAsia"/>
          <w:color w:val="auto"/>
          <w:szCs w:val="28"/>
          <w:highlight w:val="none"/>
        </w:rPr>
        <w:t>份）</w:t>
      </w:r>
    </w:p>
    <w:p w14:paraId="5EFA3324">
      <w:pPr>
        <w:tabs>
          <w:tab w:val="left" w:pos="6930"/>
        </w:tabs>
        <w:adjustRightInd w:val="0"/>
        <w:snapToGrid w:val="0"/>
        <w:ind w:firstLine="560"/>
        <w:rPr>
          <w:color w:val="auto"/>
          <w:szCs w:val="28"/>
          <w:highlight w:val="none"/>
        </w:rPr>
      </w:pPr>
      <w:r>
        <w:rPr>
          <w:rFonts w:hint="eastAsia"/>
          <w:color w:val="auto"/>
          <w:szCs w:val="28"/>
          <w:highlight w:val="none"/>
        </w:rPr>
        <w:t>（5）1+41重庆客户端集群云平台渗透测试报告（</w:t>
      </w:r>
      <w:r>
        <w:rPr>
          <w:color w:val="auto"/>
          <w:szCs w:val="28"/>
          <w:highlight w:val="none"/>
        </w:rPr>
        <w:t>1</w:t>
      </w:r>
      <w:r>
        <w:rPr>
          <w:rFonts w:hint="eastAsia"/>
          <w:color w:val="auto"/>
          <w:szCs w:val="28"/>
          <w:highlight w:val="none"/>
        </w:rPr>
        <w:t>份）</w:t>
      </w:r>
    </w:p>
    <w:p w14:paraId="3F88E829">
      <w:pPr>
        <w:tabs>
          <w:tab w:val="left" w:pos="6930"/>
        </w:tabs>
        <w:adjustRightInd w:val="0"/>
        <w:snapToGrid w:val="0"/>
        <w:ind w:firstLine="560"/>
        <w:rPr>
          <w:color w:val="auto"/>
          <w:szCs w:val="28"/>
          <w:highlight w:val="none"/>
        </w:rPr>
      </w:pPr>
      <w:r>
        <w:rPr>
          <w:rFonts w:hint="eastAsia"/>
          <w:color w:val="auto"/>
          <w:szCs w:val="28"/>
          <w:highlight w:val="none"/>
        </w:rPr>
        <w:t>（6）华龙芯智慧数字能力中台渗透测试报告（</w:t>
      </w:r>
      <w:r>
        <w:rPr>
          <w:color w:val="auto"/>
          <w:szCs w:val="28"/>
          <w:highlight w:val="none"/>
        </w:rPr>
        <w:t>1</w:t>
      </w:r>
      <w:r>
        <w:rPr>
          <w:rFonts w:hint="eastAsia"/>
          <w:color w:val="auto"/>
          <w:szCs w:val="28"/>
          <w:highlight w:val="none"/>
        </w:rPr>
        <w:t>份）</w:t>
      </w:r>
    </w:p>
    <w:p w14:paraId="023F3EF2">
      <w:pPr>
        <w:tabs>
          <w:tab w:val="left" w:pos="6930"/>
        </w:tabs>
        <w:adjustRightInd w:val="0"/>
        <w:snapToGrid w:val="0"/>
        <w:ind w:firstLine="560"/>
        <w:rPr>
          <w:color w:val="auto"/>
          <w:szCs w:val="28"/>
          <w:highlight w:val="none"/>
        </w:rPr>
      </w:pPr>
      <w:r>
        <w:rPr>
          <w:rFonts w:hint="eastAsia"/>
          <w:color w:val="auto"/>
          <w:szCs w:val="28"/>
          <w:highlight w:val="none"/>
        </w:rPr>
        <w:t>（7）华龙网门户网站系统安全评估报告（</w:t>
      </w:r>
      <w:r>
        <w:rPr>
          <w:color w:val="auto"/>
          <w:szCs w:val="28"/>
          <w:highlight w:val="none"/>
        </w:rPr>
        <w:t>1</w:t>
      </w:r>
      <w:r>
        <w:rPr>
          <w:rFonts w:hint="eastAsia"/>
          <w:color w:val="auto"/>
          <w:szCs w:val="28"/>
          <w:highlight w:val="none"/>
        </w:rPr>
        <w:t>份）</w:t>
      </w:r>
    </w:p>
    <w:p w14:paraId="4F5E796B">
      <w:pPr>
        <w:tabs>
          <w:tab w:val="left" w:pos="6930"/>
        </w:tabs>
        <w:adjustRightInd w:val="0"/>
        <w:snapToGrid w:val="0"/>
        <w:ind w:firstLine="560"/>
        <w:rPr>
          <w:color w:val="auto"/>
          <w:szCs w:val="28"/>
          <w:highlight w:val="none"/>
        </w:rPr>
      </w:pPr>
      <w:r>
        <w:rPr>
          <w:rFonts w:hint="eastAsia"/>
          <w:color w:val="auto"/>
          <w:szCs w:val="28"/>
          <w:highlight w:val="none"/>
        </w:rPr>
        <w:t>（8）1+41重庆客户端集群云平台安全评估报告（</w:t>
      </w:r>
      <w:r>
        <w:rPr>
          <w:color w:val="auto"/>
          <w:szCs w:val="28"/>
          <w:highlight w:val="none"/>
        </w:rPr>
        <w:t>1</w:t>
      </w:r>
      <w:r>
        <w:rPr>
          <w:rFonts w:hint="eastAsia"/>
          <w:color w:val="auto"/>
          <w:szCs w:val="28"/>
          <w:highlight w:val="none"/>
        </w:rPr>
        <w:t>份）</w:t>
      </w:r>
    </w:p>
    <w:p w14:paraId="7664DDDB">
      <w:pPr>
        <w:tabs>
          <w:tab w:val="left" w:pos="6930"/>
        </w:tabs>
        <w:adjustRightInd w:val="0"/>
        <w:snapToGrid w:val="0"/>
        <w:ind w:firstLine="560"/>
        <w:rPr>
          <w:color w:val="auto"/>
          <w:szCs w:val="28"/>
          <w:highlight w:val="none"/>
        </w:rPr>
      </w:pPr>
      <w:r>
        <w:rPr>
          <w:rFonts w:hint="eastAsia"/>
          <w:color w:val="auto"/>
          <w:szCs w:val="28"/>
          <w:highlight w:val="none"/>
        </w:rPr>
        <w:t>（9）华龙芯智慧数字能力中台安全评估报告（</w:t>
      </w:r>
      <w:r>
        <w:rPr>
          <w:color w:val="auto"/>
          <w:szCs w:val="28"/>
          <w:highlight w:val="none"/>
        </w:rPr>
        <w:t>1</w:t>
      </w:r>
      <w:r>
        <w:rPr>
          <w:rFonts w:hint="eastAsia"/>
          <w:color w:val="auto"/>
          <w:szCs w:val="28"/>
          <w:highlight w:val="none"/>
        </w:rPr>
        <w:t>份）</w:t>
      </w:r>
    </w:p>
    <w:p w14:paraId="169FFF31">
      <w:pPr>
        <w:tabs>
          <w:tab w:val="left" w:pos="6930"/>
        </w:tabs>
        <w:adjustRightInd w:val="0"/>
        <w:snapToGrid w:val="0"/>
        <w:ind w:firstLine="560"/>
        <w:rPr>
          <w:color w:val="auto"/>
          <w:szCs w:val="28"/>
          <w:highlight w:val="none"/>
        </w:rPr>
      </w:pPr>
      <w:r>
        <w:rPr>
          <w:rFonts w:hint="eastAsia"/>
          <w:color w:val="auto"/>
          <w:szCs w:val="28"/>
          <w:highlight w:val="none"/>
        </w:rPr>
        <w:t>（10）华龙网门户网站安全巡检报告（每季度</w:t>
      </w:r>
      <w:r>
        <w:rPr>
          <w:color w:val="auto"/>
          <w:szCs w:val="28"/>
          <w:highlight w:val="none"/>
        </w:rPr>
        <w:t>1</w:t>
      </w:r>
      <w:r>
        <w:rPr>
          <w:rFonts w:hint="eastAsia"/>
          <w:color w:val="auto"/>
          <w:szCs w:val="28"/>
          <w:highlight w:val="none"/>
        </w:rPr>
        <w:t>份，共</w:t>
      </w:r>
      <w:r>
        <w:rPr>
          <w:color w:val="auto"/>
          <w:szCs w:val="28"/>
          <w:highlight w:val="none"/>
        </w:rPr>
        <w:t>4</w:t>
      </w:r>
      <w:r>
        <w:rPr>
          <w:rFonts w:hint="eastAsia"/>
          <w:color w:val="auto"/>
          <w:szCs w:val="28"/>
          <w:highlight w:val="none"/>
        </w:rPr>
        <w:t>份）</w:t>
      </w:r>
    </w:p>
    <w:p w14:paraId="130DAC2E">
      <w:pPr>
        <w:tabs>
          <w:tab w:val="left" w:pos="6930"/>
        </w:tabs>
        <w:adjustRightInd w:val="0"/>
        <w:snapToGrid w:val="0"/>
        <w:ind w:firstLine="560"/>
        <w:rPr>
          <w:color w:val="auto"/>
          <w:szCs w:val="28"/>
          <w:highlight w:val="none"/>
        </w:rPr>
      </w:pPr>
      <w:r>
        <w:rPr>
          <w:rFonts w:hint="eastAsia"/>
          <w:color w:val="auto"/>
          <w:szCs w:val="28"/>
          <w:highlight w:val="none"/>
        </w:rPr>
        <w:t>（11）华龙网门户网站安全预警通告（每月</w:t>
      </w:r>
      <w:r>
        <w:rPr>
          <w:color w:val="auto"/>
          <w:szCs w:val="28"/>
          <w:highlight w:val="none"/>
        </w:rPr>
        <w:t>1</w:t>
      </w:r>
      <w:r>
        <w:rPr>
          <w:rFonts w:hint="eastAsia"/>
          <w:color w:val="auto"/>
          <w:szCs w:val="28"/>
          <w:highlight w:val="none"/>
        </w:rPr>
        <w:t>份，共</w:t>
      </w:r>
      <w:r>
        <w:rPr>
          <w:color w:val="auto"/>
          <w:szCs w:val="28"/>
          <w:highlight w:val="none"/>
        </w:rPr>
        <w:t>12</w:t>
      </w:r>
      <w:r>
        <w:rPr>
          <w:rFonts w:hint="eastAsia"/>
          <w:color w:val="auto"/>
          <w:szCs w:val="28"/>
          <w:highlight w:val="none"/>
        </w:rPr>
        <w:t>份）</w:t>
      </w:r>
    </w:p>
    <w:p w14:paraId="0E932F17">
      <w:pPr>
        <w:tabs>
          <w:tab w:val="left" w:pos="6930"/>
        </w:tabs>
        <w:adjustRightInd w:val="0"/>
        <w:snapToGrid w:val="0"/>
        <w:ind w:firstLine="560"/>
        <w:rPr>
          <w:color w:val="auto"/>
          <w:szCs w:val="28"/>
          <w:highlight w:val="none"/>
        </w:rPr>
      </w:pPr>
      <w:r>
        <w:rPr>
          <w:rFonts w:hint="eastAsia"/>
          <w:color w:val="auto"/>
          <w:szCs w:val="28"/>
          <w:highlight w:val="none"/>
        </w:rPr>
        <w:t>（12）华龙网门户网站系统、1+41重庆客户端集群云平台和华龙芯智慧数字能力中台的网络安全等级保护测评项目登记管理系统证明文件。</w:t>
      </w:r>
    </w:p>
    <w:p w14:paraId="18D2B634">
      <w:pPr>
        <w:spacing w:line="550" w:lineRule="exact"/>
        <w:ind w:firstLine="560"/>
        <w:rPr>
          <w:rFonts w:ascii="Times New Roman" w:hAnsi="Times New Roman" w:eastAsia="方正黑体_GBK"/>
          <w:color w:val="auto"/>
          <w:szCs w:val="20"/>
          <w:highlight w:val="none"/>
        </w:rPr>
      </w:pPr>
      <w:bookmarkStart w:id="55" w:name="_Toc31339"/>
      <w:bookmarkStart w:id="56" w:name="_Toc10219"/>
      <w:bookmarkStart w:id="57" w:name="_Toc10611"/>
      <w:bookmarkStart w:id="58" w:name="_Toc12735"/>
      <w:bookmarkStart w:id="59" w:name="_Toc105081910"/>
      <w:bookmarkStart w:id="60" w:name="_Toc1991"/>
      <w:bookmarkStart w:id="61" w:name="_Toc267320050"/>
      <w:r>
        <w:rPr>
          <w:rFonts w:ascii="Times New Roman" w:hAnsi="Times New Roman" w:eastAsia="方正黑体_GBK"/>
          <w:color w:val="auto"/>
          <w:szCs w:val="20"/>
          <w:highlight w:val="none"/>
        </w:rPr>
        <w:t>二、报价要求</w:t>
      </w:r>
      <w:bookmarkEnd w:id="55"/>
      <w:bookmarkEnd w:id="56"/>
      <w:bookmarkEnd w:id="57"/>
      <w:bookmarkEnd w:id="58"/>
      <w:bookmarkEnd w:id="59"/>
      <w:bookmarkEnd w:id="60"/>
    </w:p>
    <w:bookmarkEnd w:id="61"/>
    <w:p w14:paraId="66A4AF65">
      <w:pPr>
        <w:spacing w:line="550" w:lineRule="exact"/>
        <w:ind w:firstLine="560"/>
        <w:rPr>
          <w:rFonts w:ascii="Times New Roman" w:hAnsi="Times New Roman"/>
          <w:color w:val="auto"/>
          <w:highlight w:val="none"/>
        </w:rPr>
      </w:pPr>
      <w:bookmarkStart w:id="62" w:name="_Toc16784"/>
      <w:bookmarkStart w:id="63" w:name="_Toc9507"/>
      <w:bookmarkStart w:id="64" w:name="_Toc29796"/>
      <w:bookmarkStart w:id="65" w:name="_Toc1752"/>
      <w:bookmarkStart w:id="66" w:name="_Toc267320051"/>
      <w:bookmarkStart w:id="67" w:name="_Toc10958"/>
      <w:r>
        <w:rPr>
          <w:rFonts w:ascii="Times New Roman" w:hAnsi="Times New Roman"/>
          <w:color w:val="auto"/>
          <w:highlight w:val="none"/>
        </w:rPr>
        <w:t>本次报价须为人民币报价，包含不限于现场测评人工费、漏洞扫描、渗透测试、资料梳理、测评报告编制及签章、安全整改咨询、复测服务、交通差旅、设备工具、管理成本、增值税税金等所有费用，采购人不再为此向中选</w:t>
      </w:r>
      <w:r>
        <w:rPr>
          <w:rFonts w:hint="eastAsia" w:ascii="Times New Roman" w:hAnsi="Times New Roman"/>
          <w:color w:val="auto"/>
          <w:highlight w:val="none"/>
        </w:rPr>
        <w:t>参选人</w:t>
      </w:r>
      <w:r>
        <w:rPr>
          <w:rFonts w:ascii="Times New Roman" w:hAnsi="Times New Roman"/>
          <w:color w:val="auto"/>
          <w:highlight w:val="none"/>
        </w:rPr>
        <w:t>支付其他任何费用，合同中另有规定的除外。因</w:t>
      </w:r>
      <w:r>
        <w:rPr>
          <w:rFonts w:hint="eastAsia" w:ascii="Times New Roman" w:hAnsi="Times New Roman"/>
          <w:color w:val="auto"/>
          <w:highlight w:val="none"/>
        </w:rPr>
        <w:t>参选人</w:t>
      </w:r>
      <w:r>
        <w:rPr>
          <w:rFonts w:ascii="Times New Roman" w:hAnsi="Times New Roman"/>
          <w:color w:val="auto"/>
          <w:highlight w:val="none"/>
        </w:rPr>
        <w:t>自身原因造成漏报、少报皆由其自行承担责任，采购人不再补偿。</w:t>
      </w:r>
    </w:p>
    <w:p w14:paraId="06FAC1B6">
      <w:pPr>
        <w:snapToGrid w:val="0"/>
        <w:spacing w:line="550" w:lineRule="exact"/>
        <w:ind w:firstLine="560"/>
        <w:rPr>
          <w:rFonts w:ascii="方正仿宋_GBK"/>
          <w:b/>
          <w:color w:val="auto"/>
          <w:sz w:val="24"/>
          <w:highlight w:val="none"/>
        </w:rPr>
      </w:pPr>
      <w:bookmarkStart w:id="68" w:name="_Toc106030387"/>
      <w:bookmarkStart w:id="69" w:name="_Toc105081911"/>
      <w:r>
        <w:rPr>
          <w:rFonts w:hint="eastAsia" w:ascii="方正黑体_GBK" w:eastAsia="方正黑体_GBK"/>
          <w:color w:val="auto"/>
          <w:szCs w:val="28"/>
          <w:highlight w:val="none"/>
        </w:rPr>
        <w:t>三、质量保证及售后服务</w:t>
      </w:r>
      <w:bookmarkEnd w:id="68"/>
    </w:p>
    <w:p w14:paraId="01C55550">
      <w:pPr>
        <w:pStyle w:val="6"/>
        <w:adjustRightInd/>
        <w:spacing w:line="579" w:lineRule="exact"/>
        <w:ind w:firstLine="560"/>
        <w:jc w:val="left"/>
        <w:rPr>
          <w:color w:val="auto"/>
          <w:sz w:val="28"/>
          <w:szCs w:val="28"/>
          <w:highlight w:val="none"/>
        </w:rPr>
      </w:pPr>
      <w:r>
        <w:rPr>
          <w:color w:val="auto"/>
          <w:sz w:val="28"/>
          <w:szCs w:val="28"/>
          <w:highlight w:val="none"/>
        </w:rPr>
        <w:t>1.中选人应提供相关的安全咨询服务。提供的安全咨询建议、策略、规范和整改建议要切合采购人实际情况，满足GB/T22239-2019《信</w:t>
      </w:r>
      <w:r>
        <w:rPr>
          <w:color w:val="auto"/>
          <w:spacing w:val="-6"/>
          <w:sz w:val="28"/>
          <w:szCs w:val="28"/>
          <w:highlight w:val="none"/>
        </w:rPr>
        <w:t>息安全技术</w:t>
      </w:r>
      <w:r>
        <w:rPr>
          <w:rFonts w:hint="eastAsia"/>
          <w:color w:val="auto"/>
          <w:spacing w:val="-6"/>
          <w:sz w:val="28"/>
          <w:szCs w:val="28"/>
          <w:highlight w:val="none"/>
        </w:rPr>
        <w:t xml:space="preserve"> </w:t>
      </w:r>
      <w:r>
        <w:rPr>
          <w:color w:val="auto"/>
          <w:spacing w:val="-6"/>
          <w:sz w:val="28"/>
          <w:szCs w:val="28"/>
          <w:highlight w:val="none"/>
        </w:rPr>
        <w:t>信息系统安全等级保护基本要求》等标准、规范的相关要求。</w:t>
      </w:r>
    </w:p>
    <w:p w14:paraId="0A669956">
      <w:pPr>
        <w:pStyle w:val="6"/>
        <w:adjustRightInd/>
        <w:spacing w:line="579" w:lineRule="exact"/>
        <w:ind w:firstLine="560"/>
        <w:jc w:val="left"/>
        <w:rPr>
          <w:color w:val="auto"/>
          <w:sz w:val="28"/>
          <w:szCs w:val="28"/>
          <w:highlight w:val="none"/>
        </w:rPr>
      </w:pPr>
      <w:r>
        <w:rPr>
          <w:color w:val="auto"/>
          <w:sz w:val="28"/>
          <w:szCs w:val="28"/>
          <w:highlight w:val="none"/>
        </w:rPr>
        <w:t>2.中选人应当为采购人提供技术援助电话，解答采购人在使用中遇到的问题，及时为采购人提出解决问题的建议。</w:t>
      </w:r>
    </w:p>
    <w:p w14:paraId="1D151F5C">
      <w:pPr>
        <w:pStyle w:val="6"/>
        <w:adjustRightInd/>
        <w:spacing w:line="579" w:lineRule="exact"/>
        <w:ind w:firstLine="560"/>
        <w:jc w:val="left"/>
        <w:rPr>
          <w:color w:val="auto"/>
          <w:sz w:val="28"/>
          <w:szCs w:val="28"/>
          <w:highlight w:val="none"/>
        </w:rPr>
      </w:pPr>
      <w:r>
        <w:rPr>
          <w:color w:val="auto"/>
          <w:sz w:val="28"/>
          <w:szCs w:val="28"/>
          <w:highlight w:val="none"/>
        </w:rPr>
        <w:t>3.采购人遇到使用及技术问题或突发网络安全事件，电话咨询不能解决的，中选人应在接到我方通知后具备安排技术人员于1小时内到达现场，以保证在发现被测信息系统受到网络攻击事件时，协助实施有效的紧急救援及恢复补救方案。</w:t>
      </w:r>
    </w:p>
    <w:p w14:paraId="6C701944">
      <w:pPr>
        <w:pStyle w:val="6"/>
        <w:adjustRightInd/>
        <w:snapToGrid w:val="0"/>
        <w:spacing w:line="579" w:lineRule="exact"/>
        <w:ind w:firstLine="560"/>
        <w:jc w:val="left"/>
        <w:rPr>
          <w:color w:val="auto"/>
          <w:highlight w:val="none"/>
        </w:rPr>
      </w:pPr>
      <w:r>
        <w:rPr>
          <w:color w:val="auto"/>
          <w:sz w:val="28"/>
          <w:szCs w:val="28"/>
          <w:highlight w:val="none"/>
        </w:rPr>
        <w:t>4.协助采购人在重大信息安全检查工作或重大网络安全安保工作中，</w:t>
      </w:r>
      <w:r>
        <w:rPr>
          <w:rFonts w:hint="eastAsia"/>
          <w:color w:val="auto"/>
          <w:sz w:val="28"/>
          <w:szCs w:val="28"/>
          <w:highlight w:val="none"/>
          <w:lang w:val="en-US" w:eastAsia="zh-CN"/>
        </w:rPr>
        <w:t>中选人</w:t>
      </w:r>
      <w:r>
        <w:rPr>
          <w:color w:val="auto"/>
          <w:sz w:val="28"/>
          <w:szCs w:val="28"/>
          <w:highlight w:val="none"/>
        </w:rPr>
        <w:t>需提供远程或现场相关的技术支撑服务。</w:t>
      </w:r>
    </w:p>
    <w:p w14:paraId="23862AEF">
      <w:pPr>
        <w:spacing w:line="550" w:lineRule="exact"/>
        <w:ind w:firstLine="56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四、</w:t>
      </w:r>
      <w:r>
        <w:rPr>
          <w:rFonts w:ascii="Times New Roman" w:hAnsi="Times New Roman" w:eastAsia="方正黑体_GBK"/>
          <w:color w:val="auto"/>
          <w:szCs w:val="20"/>
          <w:highlight w:val="none"/>
        </w:rPr>
        <w:t>付款方式</w:t>
      </w:r>
    </w:p>
    <w:p w14:paraId="01655A77">
      <w:pPr>
        <w:tabs>
          <w:tab w:val="left" w:pos="312"/>
        </w:tabs>
        <w:ind w:firstLine="560"/>
        <w:rPr>
          <w:color w:val="auto"/>
          <w:szCs w:val="28"/>
          <w:highlight w:val="none"/>
        </w:rPr>
      </w:pPr>
      <w:r>
        <w:rPr>
          <w:rFonts w:hint="eastAsia"/>
          <w:color w:val="auto"/>
          <w:szCs w:val="28"/>
          <w:highlight w:val="none"/>
        </w:rPr>
        <w:t>1.华龙网门户网站系统、1+41重庆客户端集群云平台、华龙芯智慧数字能力中台的等级保护测评、渗透测试服务、安全评估服务验收完成后</w:t>
      </w:r>
      <w:r>
        <w:rPr>
          <w:color w:val="auto"/>
          <w:szCs w:val="28"/>
          <w:highlight w:val="none"/>
        </w:rPr>
        <w:t>1</w:t>
      </w:r>
      <w:r>
        <w:rPr>
          <w:rFonts w:hint="eastAsia"/>
          <w:color w:val="auto"/>
          <w:szCs w:val="28"/>
          <w:highlight w:val="none"/>
        </w:rPr>
        <w:t>0个工作日内一次性付清相关服务款项。其余持续性服务项目款项待合同服务期到期且验收完成后</w:t>
      </w:r>
      <w:r>
        <w:rPr>
          <w:color w:val="auto"/>
          <w:szCs w:val="28"/>
          <w:highlight w:val="none"/>
        </w:rPr>
        <w:t>10</w:t>
      </w:r>
      <w:r>
        <w:rPr>
          <w:rFonts w:hint="eastAsia"/>
          <w:color w:val="auto"/>
          <w:szCs w:val="28"/>
          <w:highlight w:val="none"/>
        </w:rPr>
        <w:t>个工作日内一次性支付。</w:t>
      </w:r>
    </w:p>
    <w:p w14:paraId="284C4B44">
      <w:pPr>
        <w:tabs>
          <w:tab w:val="left" w:pos="6930"/>
        </w:tabs>
        <w:adjustRightInd w:val="0"/>
        <w:snapToGrid w:val="0"/>
        <w:ind w:firstLine="560"/>
        <w:outlineLvl w:val="1"/>
        <w:rPr>
          <w:color w:val="auto"/>
          <w:szCs w:val="28"/>
          <w:highlight w:val="none"/>
        </w:rPr>
      </w:pPr>
      <w:r>
        <w:rPr>
          <w:rFonts w:hint="eastAsia"/>
          <w:color w:val="auto"/>
          <w:szCs w:val="28"/>
          <w:highlight w:val="none"/>
        </w:rPr>
        <w:t>2.每次支付款项前，</w:t>
      </w:r>
      <w:r>
        <w:rPr>
          <w:rFonts w:hint="eastAsia"/>
          <w:color w:val="auto"/>
          <w:sz w:val="28"/>
          <w:szCs w:val="28"/>
          <w:highlight w:val="none"/>
          <w:lang w:val="en-US" w:eastAsia="zh-CN"/>
        </w:rPr>
        <w:t>中选人</w:t>
      </w:r>
      <w:r>
        <w:rPr>
          <w:rFonts w:hint="eastAsia"/>
          <w:color w:val="auto"/>
          <w:szCs w:val="28"/>
          <w:highlight w:val="none"/>
        </w:rPr>
        <w:t>应向采购</w:t>
      </w:r>
      <w:r>
        <w:rPr>
          <w:rFonts w:hint="eastAsia"/>
          <w:color w:val="auto"/>
          <w:szCs w:val="28"/>
          <w:highlight w:val="none"/>
          <w:lang w:eastAsia="zh-CN"/>
        </w:rPr>
        <w:t>人</w:t>
      </w:r>
      <w:r>
        <w:rPr>
          <w:rFonts w:hint="eastAsia"/>
          <w:color w:val="auto"/>
          <w:szCs w:val="28"/>
          <w:highlight w:val="none"/>
        </w:rPr>
        <w:t>开具合法有效的增值税发票，</w:t>
      </w:r>
      <w:r>
        <w:rPr>
          <w:color w:val="auto"/>
          <w:szCs w:val="28"/>
          <w:highlight w:val="none"/>
        </w:rPr>
        <w:t>支付款项前，</w:t>
      </w:r>
      <w:r>
        <w:rPr>
          <w:rFonts w:hint="eastAsia"/>
          <w:color w:val="auto"/>
          <w:sz w:val="28"/>
          <w:szCs w:val="28"/>
          <w:highlight w:val="none"/>
          <w:lang w:val="en-US" w:eastAsia="zh-CN"/>
        </w:rPr>
        <w:t>中选人</w:t>
      </w:r>
      <w:r>
        <w:rPr>
          <w:color w:val="auto"/>
          <w:szCs w:val="28"/>
          <w:highlight w:val="none"/>
        </w:rPr>
        <w:t>未提供结案材料及合法有效的等额的增值税发票的，采购商有权顺延付款时间且不承担任何逾期付款的违约责任。</w:t>
      </w:r>
    </w:p>
    <w:p w14:paraId="11F046D9">
      <w:pPr>
        <w:tabs>
          <w:tab w:val="left" w:pos="6930"/>
        </w:tabs>
        <w:adjustRightInd w:val="0"/>
        <w:snapToGrid w:val="0"/>
        <w:ind w:firstLine="560"/>
        <w:rPr>
          <w:color w:val="auto"/>
          <w:szCs w:val="28"/>
          <w:highlight w:val="none"/>
        </w:rPr>
      </w:pPr>
      <w:r>
        <w:rPr>
          <w:rFonts w:hint="eastAsia"/>
          <w:color w:val="auto"/>
          <w:szCs w:val="28"/>
          <w:highlight w:val="none"/>
        </w:rPr>
        <w:t>3.当国家法定增值税税率发生变更，采购人和</w:t>
      </w:r>
      <w:r>
        <w:rPr>
          <w:rFonts w:hint="eastAsia"/>
          <w:color w:val="auto"/>
          <w:sz w:val="28"/>
          <w:szCs w:val="28"/>
          <w:highlight w:val="none"/>
          <w:lang w:val="en-US" w:eastAsia="zh-CN"/>
        </w:rPr>
        <w:t>中选人</w:t>
      </w:r>
      <w:r>
        <w:rPr>
          <w:rFonts w:hint="eastAsia"/>
          <w:color w:val="auto"/>
          <w:szCs w:val="28"/>
          <w:highlight w:val="none"/>
        </w:rPr>
        <w:t>应约定以不含税价格不变作为基准，调整增值税税额。</w:t>
      </w:r>
    </w:p>
    <w:p w14:paraId="7AAE5B58">
      <w:pPr>
        <w:pStyle w:val="8"/>
        <w:spacing w:after="0" w:line="550" w:lineRule="exact"/>
        <w:ind w:firstLine="560"/>
        <w:jc w:val="left"/>
        <w:rPr>
          <w:rFonts w:ascii="Times New Roman" w:hAnsi="Times New Roman"/>
          <w:color w:val="auto"/>
          <w:highlight w:val="none"/>
        </w:rPr>
      </w:pPr>
      <w:r>
        <w:rPr>
          <w:rFonts w:hint="eastAsia" w:ascii="Times New Roman" w:hAnsi="Times New Roman"/>
          <w:color w:val="auto"/>
          <w:highlight w:val="none"/>
        </w:rPr>
        <w:t>4</w:t>
      </w:r>
      <w:r>
        <w:rPr>
          <w:rFonts w:ascii="Times New Roman" w:hAnsi="Times New Roman"/>
          <w:color w:val="auto"/>
          <w:highlight w:val="none"/>
        </w:rPr>
        <w:t>.每次支付款项前，</w:t>
      </w:r>
      <w:r>
        <w:rPr>
          <w:rFonts w:hint="eastAsia" w:ascii="Times New Roman" w:hAnsi="Times New Roman"/>
          <w:color w:val="auto"/>
          <w:highlight w:val="none"/>
        </w:rPr>
        <w:t>中</w:t>
      </w:r>
      <w:r>
        <w:rPr>
          <w:rFonts w:ascii="Times New Roman" w:hAnsi="Times New Roman"/>
          <w:color w:val="auto"/>
          <w:highlight w:val="none"/>
        </w:rPr>
        <w:t>选人应向采购方开具合法有效的增值税发票</w:t>
      </w:r>
      <w:r>
        <w:rPr>
          <w:rFonts w:hint="eastAsia" w:ascii="Times New Roman" w:hAnsi="Times New Roman"/>
          <w:color w:val="auto"/>
          <w:highlight w:val="none"/>
        </w:rPr>
        <w:t>。若</w:t>
      </w:r>
      <w:r>
        <w:rPr>
          <w:rFonts w:ascii="Times New Roman" w:hAnsi="Times New Roman"/>
          <w:color w:val="auto"/>
          <w:highlight w:val="none"/>
        </w:rPr>
        <w:t>支付款项前，</w:t>
      </w:r>
      <w:r>
        <w:rPr>
          <w:rFonts w:hint="eastAsia" w:ascii="Times New Roman" w:hAnsi="Times New Roman"/>
          <w:color w:val="auto"/>
          <w:highlight w:val="none"/>
        </w:rPr>
        <w:t>中</w:t>
      </w:r>
      <w:r>
        <w:rPr>
          <w:rFonts w:ascii="Times New Roman" w:hAnsi="Times New Roman"/>
          <w:color w:val="auto"/>
          <w:highlight w:val="none"/>
        </w:rPr>
        <w:t>选人未提供合法有效的</w:t>
      </w:r>
      <w:r>
        <w:rPr>
          <w:rFonts w:hint="eastAsia" w:ascii="Times New Roman" w:hAnsi="Times New Roman"/>
          <w:color w:val="auto"/>
          <w:highlight w:val="none"/>
        </w:rPr>
        <w:t>等额</w:t>
      </w:r>
      <w:r>
        <w:rPr>
          <w:rFonts w:ascii="Times New Roman" w:hAnsi="Times New Roman"/>
          <w:color w:val="auto"/>
          <w:highlight w:val="none"/>
        </w:rPr>
        <w:t>增值税</w:t>
      </w:r>
      <w:r>
        <w:rPr>
          <w:rFonts w:hint="eastAsia" w:ascii="Times New Roman" w:hAnsi="Times New Roman"/>
          <w:color w:val="auto"/>
          <w:highlight w:val="none"/>
        </w:rPr>
        <w:t>发票</w:t>
      </w:r>
      <w:r>
        <w:rPr>
          <w:rFonts w:ascii="Times New Roman" w:hAnsi="Times New Roman"/>
          <w:color w:val="auto"/>
          <w:highlight w:val="none"/>
        </w:rPr>
        <w:t>，采购</w:t>
      </w:r>
      <w:r>
        <w:rPr>
          <w:rFonts w:hint="eastAsia" w:ascii="Times New Roman" w:hAnsi="Times New Roman"/>
          <w:color w:val="auto"/>
          <w:highlight w:val="none"/>
        </w:rPr>
        <w:t>人</w:t>
      </w:r>
      <w:r>
        <w:rPr>
          <w:rFonts w:ascii="Times New Roman" w:hAnsi="Times New Roman"/>
          <w:color w:val="auto"/>
          <w:highlight w:val="none"/>
        </w:rPr>
        <w:t>有权顺延付款时间且不承担任何逾期付款的违约责任。</w:t>
      </w:r>
    </w:p>
    <w:p w14:paraId="0DF32D31">
      <w:pPr>
        <w:spacing w:line="550" w:lineRule="exact"/>
        <w:ind w:firstLine="560"/>
        <w:jc w:val="left"/>
        <w:rPr>
          <w:rFonts w:ascii="Times New Roman" w:hAnsi="Times New Roman" w:eastAsia="方正黑体_GBK" w:cs="仿宋"/>
          <w:color w:val="auto"/>
          <w:kern w:val="0"/>
          <w:szCs w:val="20"/>
          <w:highlight w:val="none"/>
        </w:rPr>
      </w:pPr>
      <w:r>
        <w:rPr>
          <w:rFonts w:hint="eastAsia" w:ascii="Times New Roman" w:hAnsi="Times New Roman" w:eastAsia="方正黑体_GBK" w:cs="仿宋"/>
          <w:color w:val="auto"/>
          <w:kern w:val="0"/>
          <w:szCs w:val="20"/>
          <w:highlight w:val="none"/>
        </w:rPr>
        <w:t>五、知识产权</w:t>
      </w:r>
    </w:p>
    <w:p w14:paraId="45196BC5">
      <w:pPr>
        <w:snapToGrid w:val="0"/>
        <w:spacing w:line="550" w:lineRule="exact"/>
        <w:ind w:firstLine="560"/>
        <w:jc w:val="left"/>
        <w:rPr>
          <w:rFonts w:ascii="仿宋" w:hAnsi="仿宋" w:eastAsia="仿宋" w:cs="仿宋"/>
          <w:color w:val="auto"/>
          <w:kern w:val="0"/>
          <w:szCs w:val="28"/>
          <w:highlight w:val="none"/>
        </w:rPr>
      </w:pPr>
      <w:r>
        <w:rPr>
          <w:rFonts w:hint="eastAsia" w:ascii="仿宋" w:hAnsi="仿宋" w:eastAsia="仿宋" w:cs="仿宋"/>
          <w:color w:val="auto"/>
          <w:kern w:val="0"/>
          <w:szCs w:val="28"/>
          <w:highlight w:val="none"/>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4A57FD57">
      <w:pPr>
        <w:pStyle w:val="8"/>
        <w:spacing w:after="0" w:line="550" w:lineRule="exact"/>
        <w:ind w:firstLine="56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六、</w:t>
      </w:r>
      <w:r>
        <w:rPr>
          <w:rFonts w:ascii="Times New Roman" w:hAnsi="Times New Roman" w:eastAsia="方正黑体_GBK"/>
          <w:color w:val="auto"/>
          <w:szCs w:val="20"/>
          <w:highlight w:val="none"/>
        </w:rPr>
        <w:t>其他商务要求内容</w:t>
      </w:r>
    </w:p>
    <w:p w14:paraId="2C9EBE6F">
      <w:pPr>
        <w:spacing w:line="550" w:lineRule="exact"/>
        <w:ind w:firstLine="560"/>
        <w:rPr>
          <w:rFonts w:ascii="Times New Roman" w:hAnsi="Times New Roman"/>
          <w:color w:val="auto"/>
          <w:highlight w:val="none"/>
        </w:rPr>
      </w:pPr>
      <w:r>
        <w:rPr>
          <w:rFonts w:ascii="Times New Roman" w:hAnsi="Times New Roman"/>
          <w:color w:val="auto"/>
          <w:highlight w:val="none"/>
        </w:rPr>
        <w:t>（一）未经采购人的同意，项目中选</w:t>
      </w:r>
      <w:r>
        <w:rPr>
          <w:rFonts w:hint="eastAsia" w:ascii="Times New Roman" w:hAnsi="Times New Roman"/>
          <w:color w:val="auto"/>
          <w:highlight w:val="none"/>
        </w:rPr>
        <w:t>参选人</w:t>
      </w:r>
      <w:r>
        <w:rPr>
          <w:rFonts w:ascii="Times New Roman" w:hAnsi="Times New Roman"/>
          <w:color w:val="auto"/>
          <w:highlight w:val="none"/>
        </w:rPr>
        <w:t>不得将中选的项目分包、转让给其他单位。否则，采购人可随时取消其中选资格，由此给采购人和中选</w:t>
      </w:r>
      <w:r>
        <w:rPr>
          <w:rFonts w:hint="eastAsia" w:ascii="Times New Roman" w:hAnsi="Times New Roman"/>
          <w:color w:val="auto"/>
          <w:highlight w:val="none"/>
        </w:rPr>
        <w:t>参选人</w:t>
      </w:r>
      <w:r>
        <w:rPr>
          <w:rFonts w:ascii="Times New Roman" w:hAnsi="Times New Roman"/>
          <w:color w:val="auto"/>
          <w:highlight w:val="none"/>
        </w:rPr>
        <w:t>造成的经济损失均由中选</w:t>
      </w:r>
      <w:r>
        <w:rPr>
          <w:rFonts w:hint="eastAsia" w:ascii="Times New Roman" w:hAnsi="Times New Roman"/>
          <w:color w:val="auto"/>
          <w:highlight w:val="none"/>
        </w:rPr>
        <w:t>参选人</w:t>
      </w:r>
      <w:r>
        <w:rPr>
          <w:rFonts w:ascii="Times New Roman" w:hAnsi="Times New Roman"/>
          <w:color w:val="auto"/>
          <w:highlight w:val="none"/>
        </w:rPr>
        <w:t>全部承担。</w:t>
      </w:r>
    </w:p>
    <w:p w14:paraId="60FC7B45">
      <w:pPr>
        <w:spacing w:line="550" w:lineRule="exact"/>
        <w:ind w:firstLine="560"/>
        <w:rPr>
          <w:rFonts w:ascii="Times New Roman" w:hAnsi="Times New Roman"/>
          <w:color w:val="auto"/>
          <w:highlight w:val="none"/>
        </w:rPr>
      </w:pPr>
      <w:r>
        <w:rPr>
          <w:rFonts w:ascii="Times New Roman" w:hAnsi="Times New Roman"/>
          <w:color w:val="auto"/>
          <w:highlight w:val="none"/>
        </w:rPr>
        <w:t>（二）其他未尽事宜由供需双方在采购合同中详细约定。</w:t>
      </w:r>
    </w:p>
    <w:bookmarkEnd w:id="54"/>
    <w:bookmarkEnd w:id="62"/>
    <w:bookmarkEnd w:id="63"/>
    <w:bookmarkEnd w:id="64"/>
    <w:bookmarkEnd w:id="65"/>
    <w:bookmarkEnd w:id="66"/>
    <w:bookmarkEnd w:id="67"/>
    <w:bookmarkEnd w:id="69"/>
    <w:p w14:paraId="65A9BAFF">
      <w:pPr>
        <w:ind w:firstLine="0" w:firstLineChars="0"/>
        <w:rPr>
          <w:rFonts w:ascii="Times New Roman" w:hAnsi="Times New Roman"/>
          <w:color w:val="auto"/>
          <w:highlight w:val="none"/>
        </w:rPr>
      </w:pPr>
      <w:bookmarkStart w:id="70" w:name="_Toc17562"/>
      <w:bookmarkStart w:id="71" w:name="_Toc10997"/>
      <w:bookmarkStart w:id="72" w:name="_Toc194572018"/>
      <w:bookmarkStart w:id="73" w:name="_Toc15237"/>
      <w:bookmarkStart w:id="74" w:name="_Toc105081922"/>
      <w:bookmarkStart w:id="75" w:name="_Toc10285"/>
      <w:bookmarkStart w:id="76" w:name="_Toc10303"/>
      <w:bookmarkStart w:id="77" w:name="_Toc6979"/>
    </w:p>
    <w:p w14:paraId="457CF28D">
      <w:pPr>
        <w:pStyle w:val="15"/>
        <w:ind w:firstLine="480"/>
        <w:rPr>
          <w:color w:val="auto"/>
          <w:highlight w:val="none"/>
        </w:rPr>
      </w:pPr>
    </w:p>
    <w:p w14:paraId="5E7D1584">
      <w:pPr>
        <w:ind w:firstLine="560"/>
        <w:rPr>
          <w:color w:val="auto"/>
          <w:highlight w:val="none"/>
        </w:rPr>
      </w:pPr>
    </w:p>
    <w:p w14:paraId="12F7997A">
      <w:pPr>
        <w:ind w:firstLine="560"/>
        <w:rPr>
          <w:color w:val="auto"/>
          <w:highlight w:val="none"/>
        </w:rPr>
      </w:pPr>
    </w:p>
    <w:p w14:paraId="3B77BEF3">
      <w:pPr>
        <w:ind w:firstLine="0" w:firstLineChars="0"/>
        <w:jc w:val="center"/>
        <w:rPr>
          <w:rFonts w:ascii="Times New Roman" w:hAnsi="Times New Roman" w:eastAsia="方正小标宋_GBK"/>
          <w:b/>
          <w:bCs/>
          <w:color w:val="auto"/>
          <w:kern w:val="44"/>
          <w:sz w:val="32"/>
          <w:szCs w:val="44"/>
          <w:highlight w:val="none"/>
        </w:rPr>
      </w:pPr>
      <w:r>
        <w:rPr>
          <w:rFonts w:ascii="Times New Roman" w:hAnsi="Times New Roman" w:eastAsia="方正小标宋_GBK"/>
          <w:b/>
          <w:bCs/>
          <w:color w:val="auto"/>
          <w:kern w:val="44"/>
          <w:sz w:val="32"/>
          <w:szCs w:val="44"/>
          <w:highlight w:val="none"/>
        </w:rPr>
        <w:t xml:space="preserve">第四篇  </w:t>
      </w:r>
      <w:bookmarkEnd w:id="70"/>
      <w:r>
        <w:rPr>
          <w:rFonts w:ascii="Times New Roman" w:hAnsi="Times New Roman" w:eastAsia="方正小标宋_GBK"/>
          <w:b/>
          <w:bCs/>
          <w:color w:val="auto"/>
          <w:kern w:val="44"/>
          <w:sz w:val="32"/>
          <w:szCs w:val="44"/>
          <w:highlight w:val="none"/>
        </w:rPr>
        <w:t>比选程序及方法、评审标准</w:t>
      </w:r>
      <w:bookmarkEnd w:id="71"/>
      <w:bookmarkEnd w:id="72"/>
      <w:bookmarkEnd w:id="73"/>
      <w:bookmarkEnd w:id="74"/>
      <w:bookmarkEnd w:id="75"/>
      <w:bookmarkEnd w:id="76"/>
      <w:bookmarkEnd w:id="77"/>
    </w:p>
    <w:p w14:paraId="7BE542D8">
      <w:pPr>
        <w:numPr>
          <w:ilvl w:val="255"/>
          <w:numId w:val="0"/>
        </w:numPr>
        <w:adjustRightInd w:val="0"/>
        <w:snapToGrid w:val="0"/>
        <w:spacing w:line="550" w:lineRule="exact"/>
        <w:ind w:firstLine="560" w:firstLineChars="200"/>
        <w:jc w:val="left"/>
        <w:rPr>
          <w:rFonts w:ascii="Times New Roman" w:hAnsi="Times New Roman" w:eastAsia="方正黑体_GBK"/>
          <w:color w:val="auto"/>
          <w:szCs w:val="20"/>
          <w:highlight w:val="none"/>
        </w:rPr>
      </w:pPr>
      <w:bookmarkStart w:id="78" w:name="_Toc105081923"/>
      <w:bookmarkStart w:id="79" w:name="_Toc31606"/>
      <w:bookmarkStart w:id="80" w:name="_Toc23862"/>
      <w:bookmarkStart w:id="81" w:name="_Toc4083"/>
      <w:bookmarkStart w:id="82" w:name="_Toc1398"/>
      <w:r>
        <w:rPr>
          <w:rFonts w:hint="eastAsia" w:ascii="Times New Roman" w:hAnsi="Times New Roman" w:eastAsia="方正黑体_GBK"/>
          <w:color w:val="auto"/>
          <w:szCs w:val="20"/>
          <w:highlight w:val="none"/>
        </w:rPr>
        <w:t>一、比选程序及方法</w:t>
      </w:r>
      <w:bookmarkEnd w:id="78"/>
      <w:bookmarkEnd w:id="79"/>
      <w:bookmarkEnd w:id="80"/>
      <w:bookmarkEnd w:id="81"/>
      <w:bookmarkEnd w:id="82"/>
    </w:p>
    <w:p w14:paraId="25425F1E">
      <w:pPr>
        <w:spacing w:line="550" w:lineRule="exact"/>
        <w:ind w:firstLine="560"/>
        <w:rPr>
          <w:rFonts w:ascii="Times New Roman" w:hAnsi="Times New Roman"/>
          <w:color w:val="auto"/>
          <w:highlight w:val="none"/>
        </w:rPr>
      </w:pPr>
      <w:bookmarkStart w:id="83" w:name="_Toc8811"/>
      <w:bookmarkStart w:id="84" w:name="_Toc492721015"/>
      <w:r>
        <w:rPr>
          <w:rFonts w:ascii="Times New Roman" w:hAnsi="Times New Roman"/>
          <w:color w:val="auto"/>
          <w:highlight w:val="none"/>
        </w:rPr>
        <w:t>（一）比选按竞争性比选文件规定的时间和地点进行，</w:t>
      </w:r>
      <w:r>
        <w:rPr>
          <w:rFonts w:hint="eastAsia" w:ascii="Times New Roman" w:hAnsi="Times New Roman"/>
          <w:color w:val="auto"/>
          <w:highlight w:val="none"/>
        </w:rPr>
        <w:t>参选人</w:t>
      </w:r>
      <w:r>
        <w:rPr>
          <w:rFonts w:ascii="Times New Roman" w:hAnsi="Times New Roman"/>
          <w:color w:val="auto"/>
          <w:highlight w:val="none"/>
        </w:rPr>
        <w:t>须有法定代表人或其授权代表参加并签到。</w:t>
      </w:r>
    </w:p>
    <w:p w14:paraId="7E47C51B">
      <w:pPr>
        <w:spacing w:line="550" w:lineRule="exact"/>
        <w:ind w:firstLine="560"/>
        <w:rPr>
          <w:rFonts w:ascii="Times New Roman" w:hAnsi="Times New Roman"/>
          <w:color w:val="auto"/>
          <w:spacing w:val="-17"/>
          <w:highlight w:val="none"/>
        </w:rPr>
      </w:pPr>
      <w:r>
        <w:rPr>
          <w:rFonts w:ascii="Times New Roman" w:hAnsi="Times New Roman"/>
          <w:color w:val="auto"/>
          <w:highlight w:val="none"/>
        </w:rPr>
        <w:t>（二）比选小组对各</w:t>
      </w:r>
      <w:r>
        <w:rPr>
          <w:rFonts w:hint="eastAsia" w:ascii="Times New Roman" w:hAnsi="Times New Roman"/>
          <w:color w:val="auto"/>
          <w:highlight w:val="none"/>
        </w:rPr>
        <w:t>参选人</w:t>
      </w:r>
      <w:r>
        <w:rPr>
          <w:rFonts w:ascii="Times New Roman" w:hAnsi="Times New Roman"/>
          <w:color w:val="auto"/>
          <w:highlight w:val="none"/>
        </w:rPr>
        <w:t>的资格条件、参选文件的有效性、完整性和响应</w:t>
      </w:r>
      <w:r>
        <w:rPr>
          <w:rFonts w:ascii="Times New Roman" w:hAnsi="Times New Roman"/>
          <w:color w:val="auto"/>
          <w:spacing w:val="-17"/>
          <w:highlight w:val="none"/>
        </w:rPr>
        <w:t>程度进行</w:t>
      </w:r>
      <w:r>
        <w:rPr>
          <w:rFonts w:hint="eastAsia" w:ascii="Times New Roman" w:hAnsi="Times New Roman"/>
          <w:color w:val="auto"/>
          <w:spacing w:val="-17"/>
          <w:highlight w:val="none"/>
        </w:rPr>
        <w:t>审查。各参选人只有在完全符合要求的前提下，才能参与正式比选。</w:t>
      </w:r>
    </w:p>
    <w:p w14:paraId="22619A64">
      <w:pPr>
        <w:spacing w:line="550" w:lineRule="exact"/>
        <w:ind w:firstLine="560"/>
        <w:rPr>
          <w:rFonts w:ascii="Times New Roman" w:hAnsi="Times New Roman"/>
          <w:color w:val="auto"/>
          <w:highlight w:val="none"/>
        </w:rPr>
      </w:pPr>
      <w:r>
        <w:rPr>
          <w:rFonts w:ascii="Times New Roman" w:hAnsi="Times New Roman"/>
          <w:color w:val="auto"/>
          <w:highlight w:val="none"/>
        </w:rPr>
        <w:t>1.资格性检查。</w:t>
      </w:r>
    </w:p>
    <w:p w14:paraId="156CB24A">
      <w:pPr>
        <w:spacing w:line="550" w:lineRule="exact"/>
        <w:ind w:firstLine="560"/>
        <w:rPr>
          <w:rFonts w:ascii="Times New Roman" w:hAnsi="Times New Roman"/>
          <w:color w:val="auto"/>
          <w:highlight w:val="none"/>
        </w:rPr>
      </w:pPr>
      <w:r>
        <w:rPr>
          <w:rFonts w:ascii="Times New Roman" w:hAnsi="Times New Roman"/>
          <w:color w:val="auto"/>
          <w:highlight w:val="none"/>
        </w:rPr>
        <w:t>依据法律法规和竞争性比选文件的规定，对参选文件中的资格证明等进行审查，以确定</w:t>
      </w:r>
      <w:r>
        <w:rPr>
          <w:rFonts w:hint="eastAsia" w:ascii="Times New Roman" w:hAnsi="Times New Roman"/>
          <w:color w:val="auto"/>
          <w:highlight w:val="none"/>
        </w:rPr>
        <w:t>参选人</w:t>
      </w:r>
      <w:r>
        <w:rPr>
          <w:rFonts w:ascii="Times New Roman" w:hAnsi="Times New Roman"/>
          <w:color w:val="auto"/>
          <w:highlight w:val="none"/>
        </w:rPr>
        <w:t>是否具备比选资格。资格性检查资料表如下：</w:t>
      </w:r>
    </w:p>
    <w:tbl>
      <w:tblPr>
        <w:tblStyle w:val="19"/>
        <w:tblW w:w="97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583"/>
        <w:gridCol w:w="4820"/>
        <w:gridCol w:w="3685"/>
      </w:tblGrid>
      <w:tr w14:paraId="6C6D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54" w:type="dxa"/>
            <w:tcBorders>
              <w:top w:val="single" w:color="auto" w:sz="4" w:space="0"/>
              <w:left w:val="single" w:color="auto" w:sz="4" w:space="0"/>
              <w:bottom w:val="single" w:color="auto" w:sz="4" w:space="0"/>
              <w:right w:val="single" w:color="auto" w:sz="4" w:space="0"/>
            </w:tcBorders>
            <w:vAlign w:val="center"/>
          </w:tcPr>
          <w:p w14:paraId="0C803617">
            <w:pPr>
              <w:snapToGrid w:val="0"/>
              <w:spacing w:line="400" w:lineRule="exact"/>
              <w:ind w:firstLine="0" w:firstLineChars="0"/>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序号</w:t>
            </w:r>
          </w:p>
        </w:tc>
        <w:tc>
          <w:tcPr>
            <w:tcW w:w="5403" w:type="dxa"/>
            <w:gridSpan w:val="2"/>
            <w:tcBorders>
              <w:top w:val="single" w:color="auto" w:sz="4" w:space="0"/>
              <w:left w:val="single" w:color="auto" w:sz="4" w:space="0"/>
              <w:bottom w:val="single" w:color="auto" w:sz="4" w:space="0"/>
              <w:right w:val="single" w:color="auto" w:sz="4" w:space="0"/>
            </w:tcBorders>
            <w:vAlign w:val="center"/>
          </w:tcPr>
          <w:p w14:paraId="2DA7CA34">
            <w:pPr>
              <w:snapToGrid w:val="0"/>
              <w:spacing w:line="400" w:lineRule="exact"/>
              <w:ind w:firstLine="422"/>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检查因素</w:t>
            </w:r>
          </w:p>
        </w:tc>
        <w:tc>
          <w:tcPr>
            <w:tcW w:w="3685" w:type="dxa"/>
            <w:tcBorders>
              <w:top w:val="single" w:color="auto" w:sz="4" w:space="0"/>
              <w:left w:val="single" w:color="auto" w:sz="4" w:space="0"/>
              <w:bottom w:val="single" w:color="auto" w:sz="4" w:space="0"/>
              <w:right w:val="single" w:color="auto" w:sz="4" w:space="0"/>
            </w:tcBorders>
            <w:vAlign w:val="center"/>
          </w:tcPr>
          <w:p w14:paraId="1904E910">
            <w:pPr>
              <w:snapToGrid w:val="0"/>
              <w:spacing w:line="400" w:lineRule="exact"/>
              <w:ind w:firstLine="422"/>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检查内容</w:t>
            </w:r>
          </w:p>
        </w:tc>
      </w:tr>
      <w:tr w14:paraId="7C97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54" w:type="dxa"/>
            <w:vMerge w:val="restart"/>
            <w:vAlign w:val="center"/>
          </w:tcPr>
          <w:p w14:paraId="485817FF">
            <w:pPr>
              <w:spacing w:line="30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p>
          <w:p w14:paraId="769D6507">
            <w:pPr>
              <w:spacing w:line="300" w:lineRule="exact"/>
              <w:ind w:firstLine="199" w:firstLineChars="95"/>
              <w:rPr>
                <w:rFonts w:ascii="Times New Roman" w:hAnsi="Times New Roman" w:eastAsia="仿宋"/>
                <w:color w:val="auto"/>
                <w:sz w:val="21"/>
                <w:szCs w:val="21"/>
                <w:highlight w:val="none"/>
              </w:rPr>
            </w:pPr>
          </w:p>
        </w:tc>
        <w:tc>
          <w:tcPr>
            <w:tcW w:w="583" w:type="dxa"/>
            <w:vMerge w:val="restart"/>
            <w:vAlign w:val="center"/>
          </w:tcPr>
          <w:p w14:paraId="0F39C41E">
            <w:pPr>
              <w:spacing w:line="300" w:lineRule="exact"/>
              <w:ind w:firstLine="0" w:firstLineChars="0"/>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参选人</w:t>
            </w:r>
            <w:r>
              <w:rPr>
                <w:rFonts w:ascii="Times New Roman" w:hAnsi="Times New Roman" w:eastAsia="仿宋"/>
                <w:color w:val="auto"/>
                <w:sz w:val="21"/>
                <w:szCs w:val="21"/>
                <w:highlight w:val="none"/>
              </w:rPr>
              <w:t>应符合的基本资格条件</w:t>
            </w:r>
          </w:p>
        </w:tc>
        <w:tc>
          <w:tcPr>
            <w:tcW w:w="4820" w:type="dxa"/>
            <w:vAlign w:val="center"/>
          </w:tcPr>
          <w:p w14:paraId="36256F11">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（1）具有独立承担民事责任的能力</w:t>
            </w:r>
          </w:p>
        </w:tc>
        <w:tc>
          <w:tcPr>
            <w:tcW w:w="3685" w:type="dxa"/>
            <w:vAlign w:val="center"/>
          </w:tcPr>
          <w:p w14:paraId="5522B38B">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r>
              <w:rPr>
                <w:rFonts w:ascii="Times New Roman" w:hAnsi="Times New Roman" w:eastAsia="仿宋"/>
                <w:color w:val="auto"/>
                <w:highlight w:val="none"/>
              </w:rPr>
              <w:t xml:space="preserve"> </w:t>
            </w:r>
            <w:r>
              <w:rPr>
                <w:rFonts w:ascii="Times New Roman" w:hAnsi="Times New Roman" w:eastAsia="仿宋"/>
                <w:color w:val="auto"/>
                <w:sz w:val="21"/>
                <w:szCs w:val="21"/>
                <w:highlight w:val="none"/>
              </w:rPr>
              <w:t>提供法人或者其他组织的营业执照，自然人的身份证明；</w:t>
            </w:r>
          </w:p>
          <w:p w14:paraId="2F4EC991">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w:t>
            </w:r>
            <w:r>
              <w:rPr>
                <w:rFonts w:hint="eastAsia" w:ascii="Times New Roman" w:hAnsi="Times New Roman" w:eastAsia="仿宋"/>
                <w:color w:val="auto"/>
                <w:sz w:val="21"/>
                <w:szCs w:val="21"/>
                <w:highlight w:val="none"/>
              </w:rPr>
              <w:t>参选人</w:t>
            </w:r>
            <w:r>
              <w:rPr>
                <w:rFonts w:ascii="Times New Roman" w:hAnsi="Times New Roman" w:eastAsia="仿宋"/>
                <w:color w:val="auto"/>
                <w:sz w:val="21"/>
                <w:szCs w:val="21"/>
                <w:highlight w:val="none"/>
              </w:rPr>
              <w:t>法定代表人身份证明（如为授权人，另</w:t>
            </w:r>
            <w:r>
              <w:rPr>
                <w:rFonts w:hint="eastAsia" w:ascii="Times New Roman" w:hAnsi="Times New Roman" w:eastAsia="仿宋"/>
                <w:color w:val="auto"/>
                <w:sz w:val="21"/>
                <w:szCs w:val="21"/>
                <w:highlight w:val="none"/>
              </w:rPr>
              <w:t>须</w:t>
            </w:r>
            <w:r>
              <w:rPr>
                <w:rFonts w:ascii="Times New Roman" w:hAnsi="Times New Roman" w:eastAsia="仿宋"/>
                <w:color w:val="auto"/>
                <w:sz w:val="21"/>
                <w:szCs w:val="21"/>
                <w:highlight w:val="none"/>
              </w:rPr>
              <w:t>有法人授权委托书、被授权人的身份证明）。</w:t>
            </w:r>
          </w:p>
        </w:tc>
      </w:tr>
      <w:tr w14:paraId="4EB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54" w:type="dxa"/>
            <w:vMerge w:val="continue"/>
            <w:vAlign w:val="center"/>
          </w:tcPr>
          <w:p w14:paraId="5DEF19E0">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38C08D1A">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4DF1F968">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（2）具有良好的商业信誉和健全的财务会计制度</w:t>
            </w:r>
          </w:p>
        </w:tc>
        <w:tc>
          <w:tcPr>
            <w:tcW w:w="3685" w:type="dxa"/>
            <w:vMerge w:val="restart"/>
            <w:vAlign w:val="center"/>
          </w:tcPr>
          <w:p w14:paraId="56F9F840">
            <w:pPr>
              <w:spacing w:line="300" w:lineRule="exact"/>
              <w:ind w:firstLine="0" w:firstLineChars="0"/>
              <w:rPr>
                <w:rFonts w:ascii="Times New Roman" w:hAnsi="Times New Roman" w:eastAsia="仿宋"/>
                <w:bCs/>
                <w:color w:val="auto"/>
                <w:sz w:val="21"/>
                <w:szCs w:val="21"/>
                <w:highlight w:val="none"/>
              </w:rPr>
            </w:pPr>
            <w:r>
              <w:rPr>
                <w:rFonts w:hint="eastAsia" w:ascii="Times New Roman" w:hAnsi="Times New Roman" w:eastAsia="仿宋"/>
                <w:bCs/>
                <w:color w:val="auto"/>
                <w:sz w:val="21"/>
                <w:szCs w:val="21"/>
                <w:highlight w:val="none"/>
              </w:rPr>
              <w:t>参选人提供“基本资格条件承诺函”（格式详见第七篇）</w:t>
            </w:r>
          </w:p>
        </w:tc>
      </w:tr>
      <w:tr w14:paraId="25D3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vMerge w:val="continue"/>
            <w:vAlign w:val="center"/>
          </w:tcPr>
          <w:p w14:paraId="2783D012">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06D1FFD6">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4150582F">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（3）具有履行合同所必需的设备和专业技术能力</w:t>
            </w:r>
          </w:p>
        </w:tc>
        <w:tc>
          <w:tcPr>
            <w:tcW w:w="3685" w:type="dxa"/>
            <w:vMerge w:val="continue"/>
            <w:vAlign w:val="center"/>
          </w:tcPr>
          <w:p w14:paraId="4253D9B1">
            <w:pPr>
              <w:spacing w:line="300" w:lineRule="exact"/>
              <w:ind w:firstLine="0" w:firstLineChars="0"/>
              <w:rPr>
                <w:rFonts w:ascii="Times New Roman" w:hAnsi="Times New Roman" w:eastAsia="仿宋"/>
                <w:bCs/>
                <w:color w:val="auto"/>
                <w:sz w:val="21"/>
                <w:szCs w:val="21"/>
                <w:highlight w:val="none"/>
              </w:rPr>
            </w:pPr>
          </w:p>
        </w:tc>
      </w:tr>
      <w:tr w14:paraId="5A97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54" w:type="dxa"/>
            <w:vMerge w:val="continue"/>
            <w:vAlign w:val="center"/>
          </w:tcPr>
          <w:p w14:paraId="3287F94E">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2573E374">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69E9A2DE">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（4）有依法缴纳税收</w:t>
            </w:r>
            <w:r>
              <w:rPr>
                <w:rFonts w:hint="eastAsia" w:ascii="Times New Roman" w:hAnsi="Times New Roman" w:eastAsia="仿宋"/>
                <w:color w:val="auto"/>
                <w:sz w:val="21"/>
                <w:szCs w:val="21"/>
                <w:highlight w:val="none"/>
                <w:lang w:val="en-US" w:eastAsia="zh-CN"/>
              </w:rPr>
              <w:t>和</w:t>
            </w:r>
            <w:bookmarkStart w:id="192" w:name="_GoBack"/>
            <w:bookmarkEnd w:id="192"/>
            <w:r>
              <w:rPr>
                <w:rFonts w:ascii="Times New Roman" w:hAnsi="Times New Roman" w:eastAsia="仿宋"/>
                <w:color w:val="auto"/>
                <w:sz w:val="21"/>
                <w:szCs w:val="21"/>
                <w:highlight w:val="none"/>
              </w:rPr>
              <w:t>社会保障金的良好记录</w:t>
            </w:r>
          </w:p>
        </w:tc>
        <w:tc>
          <w:tcPr>
            <w:tcW w:w="3685" w:type="dxa"/>
            <w:vMerge w:val="continue"/>
            <w:vAlign w:val="center"/>
          </w:tcPr>
          <w:p w14:paraId="431A14A9">
            <w:pPr>
              <w:spacing w:line="300" w:lineRule="exact"/>
              <w:ind w:firstLine="0" w:firstLineChars="0"/>
              <w:rPr>
                <w:rFonts w:ascii="Times New Roman" w:hAnsi="Times New Roman" w:eastAsia="仿宋"/>
                <w:bCs/>
                <w:color w:val="auto"/>
                <w:sz w:val="21"/>
                <w:szCs w:val="21"/>
                <w:highlight w:val="none"/>
              </w:rPr>
            </w:pPr>
          </w:p>
        </w:tc>
      </w:tr>
      <w:tr w14:paraId="4EAF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54" w:type="dxa"/>
            <w:vMerge w:val="continue"/>
            <w:vAlign w:val="center"/>
          </w:tcPr>
          <w:p w14:paraId="7F5B76E7">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72ED8A47">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1DDECA7E">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（5）参加本次比选前三年内，在经营活动中没有重大违法</w:t>
            </w:r>
            <w:r>
              <w:rPr>
                <w:rFonts w:hint="eastAsia" w:ascii="Times New Roman" w:hAnsi="Times New Roman" w:eastAsia="仿宋"/>
                <w:color w:val="auto"/>
                <w:sz w:val="21"/>
                <w:szCs w:val="21"/>
                <w:highlight w:val="none"/>
              </w:rPr>
              <w:t>记录</w:t>
            </w:r>
            <w:r>
              <w:rPr>
                <w:rFonts w:ascii="Times New Roman" w:hAnsi="Times New Roman" w:eastAsia="仿宋"/>
                <w:color w:val="auto"/>
                <w:sz w:val="21"/>
                <w:szCs w:val="21"/>
                <w:highlight w:val="none"/>
              </w:rPr>
              <w:t>。</w:t>
            </w:r>
          </w:p>
        </w:tc>
        <w:tc>
          <w:tcPr>
            <w:tcW w:w="3685" w:type="dxa"/>
            <w:vMerge w:val="continue"/>
            <w:vAlign w:val="center"/>
          </w:tcPr>
          <w:p w14:paraId="070B11A1">
            <w:pPr>
              <w:spacing w:line="300" w:lineRule="exact"/>
              <w:ind w:firstLine="0" w:firstLineChars="0"/>
              <w:rPr>
                <w:rFonts w:ascii="Times New Roman" w:hAnsi="Times New Roman" w:eastAsia="仿宋"/>
                <w:bCs/>
                <w:color w:val="auto"/>
                <w:sz w:val="21"/>
                <w:szCs w:val="21"/>
                <w:highlight w:val="none"/>
              </w:rPr>
            </w:pPr>
          </w:p>
        </w:tc>
      </w:tr>
      <w:tr w14:paraId="65B6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654" w:type="dxa"/>
            <w:vMerge w:val="continue"/>
            <w:vAlign w:val="center"/>
          </w:tcPr>
          <w:p w14:paraId="4F8C87A3">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5D3C5739">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6EEB0BD5">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（6）参选人股东非华龙网员工及配偶、员工子女及其配偶。</w:t>
            </w:r>
          </w:p>
        </w:tc>
        <w:tc>
          <w:tcPr>
            <w:tcW w:w="3685" w:type="dxa"/>
            <w:vMerge w:val="restart"/>
            <w:vAlign w:val="center"/>
          </w:tcPr>
          <w:p w14:paraId="4A31DA52">
            <w:pPr>
              <w:spacing w:line="300" w:lineRule="exact"/>
              <w:ind w:firstLine="0" w:firstLineChars="0"/>
              <w:rPr>
                <w:rFonts w:ascii="Times New Roman" w:hAnsi="Times New Roman" w:eastAsia="仿宋"/>
                <w:bCs/>
                <w:color w:val="auto"/>
                <w:sz w:val="21"/>
                <w:szCs w:val="21"/>
                <w:highlight w:val="none"/>
              </w:rPr>
            </w:pPr>
            <w:r>
              <w:rPr>
                <w:rFonts w:hint="eastAsia" w:ascii="Times New Roman" w:hAnsi="Times New Roman" w:eastAsia="仿宋"/>
                <w:bCs/>
                <w:color w:val="auto"/>
                <w:sz w:val="21"/>
                <w:szCs w:val="21"/>
                <w:highlight w:val="none"/>
              </w:rPr>
              <w:t>参选人提供承诺书加盖单位公章（第七篇响应文件格式中“承诺书”）</w:t>
            </w:r>
          </w:p>
          <w:p w14:paraId="75916403">
            <w:pPr>
              <w:spacing w:line="300" w:lineRule="exact"/>
              <w:ind w:firstLine="0" w:firstLineChars="0"/>
              <w:rPr>
                <w:rFonts w:ascii="Times New Roman" w:hAnsi="Times New Roman" w:eastAsia="仿宋"/>
                <w:bCs/>
                <w:color w:val="auto"/>
                <w:sz w:val="21"/>
                <w:szCs w:val="21"/>
                <w:highlight w:val="none"/>
              </w:rPr>
            </w:pPr>
          </w:p>
        </w:tc>
      </w:tr>
      <w:tr w14:paraId="620E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654" w:type="dxa"/>
            <w:vMerge w:val="continue"/>
            <w:vAlign w:val="center"/>
          </w:tcPr>
          <w:p w14:paraId="2E171071">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45DE966B">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073D58C6">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（7）单位负责人为同一人或者存在直接控股、管理关系的不同比选方，不得参加同一合同项（分包）下的比选活动，否则均为无效。</w:t>
            </w:r>
          </w:p>
        </w:tc>
        <w:tc>
          <w:tcPr>
            <w:tcW w:w="3685" w:type="dxa"/>
            <w:vMerge w:val="continue"/>
            <w:vAlign w:val="center"/>
          </w:tcPr>
          <w:p w14:paraId="5783457F">
            <w:pPr>
              <w:spacing w:line="300" w:lineRule="exact"/>
              <w:ind w:firstLine="0" w:firstLineChars="0"/>
              <w:rPr>
                <w:rFonts w:ascii="Times New Roman" w:hAnsi="Times New Roman" w:eastAsia="仿宋"/>
                <w:bCs/>
                <w:color w:val="auto"/>
                <w:sz w:val="21"/>
                <w:szCs w:val="21"/>
                <w:highlight w:val="none"/>
              </w:rPr>
            </w:pPr>
          </w:p>
        </w:tc>
      </w:tr>
      <w:tr w14:paraId="4F53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4E5719A9">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7E80502B">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1B90716B">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（8）诚信声明</w:t>
            </w:r>
          </w:p>
        </w:tc>
        <w:tc>
          <w:tcPr>
            <w:tcW w:w="3685" w:type="dxa"/>
            <w:vAlign w:val="center"/>
          </w:tcPr>
          <w:p w14:paraId="0F5BC9A6">
            <w:pPr>
              <w:spacing w:line="300" w:lineRule="exact"/>
              <w:ind w:firstLine="0" w:firstLineChars="0"/>
              <w:rPr>
                <w:rFonts w:ascii="Times New Roman" w:hAnsi="Times New Roman" w:eastAsia="仿宋"/>
                <w:bCs/>
                <w:color w:val="auto"/>
                <w:sz w:val="21"/>
                <w:szCs w:val="21"/>
                <w:highlight w:val="none"/>
              </w:rPr>
            </w:pPr>
            <w:r>
              <w:rPr>
                <w:rFonts w:hint="eastAsia" w:ascii="Times New Roman" w:hAnsi="Times New Roman" w:eastAsia="仿宋"/>
                <w:bCs/>
                <w:color w:val="auto"/>
                <w:sz w:val="21"/>
                <w:szCs w:val="21"/>
                <w:highlight w:val="none"/>
              </w:rPr>
              <w:t>“诚信声明”（格式详见第七篇）</w:t>
            </w:r>
          </w:p>
        </w:tc>
      </w:tr>
      <w:tr w14:paraId="32F2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580D0050">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05D1F327">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6269DCD5">
            <w:pPr>
              <w:spacing w:line="300" w:lineRule="exact"/>
              <w:ind w:firstLine="0" w:firstLineChars="0"/>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（9）</w:t>
            </w:r>
            <w:r>
              <w:rPr>
                <w:rFonts w:ascii="Times New Roman" w:hAnsi="Times New Roman" w:eastAsia="仿宋"/>
                <w:color w:val="auto"/>
                <w:sz w:val="21"/>
                <w:szCs w:val="21"/>
                <w:highlight w:val="none"/>
              </w:rPr>
              <w:t>法律、行政法规规定的其他条件</w:t>
            </w:r>
          </w:p>
        </w:tc>
        <w:tc>
          <w:tcPr>
            <w:tcW w:w="3685" w:type="dxa"/>
          </w:tcPr>
          <w:p w14:paraId="1249C407">
            <w:pPr>
              <w:spacing w:line="300" w:lineRule="exact"/>
              <w:ind w:firstLine="0" w:firstLineChars="0"/>
              <w:rPr>
                <w:rFonts w:ascii="Times New Roman" w:hAnsi="Times New Roman" w:eastAsia="仿宋"/>
                <w:b/>
                <w:color w:val="auto"/>
                <w:sz w:val="21"/>
                <w:szCs w:val="21"/>
                <w:highlight w:val="none"/>
              </w:rPr>
            </w:pPr>
            <w:r>
              <w:rPr>
                <w:color w:val="auto"/>
                <w:sz w:val="21"/>
                <w:szCs w:val="21"/>
                <w:highlight w:val="none"/>
              </w:rPr>
              <w:t>/</w:t>
            </w:r>
          </w:p>
        </w:tc>
      </w:tr>
      <w:tr w14:paraId="3473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0958DC67">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310C1497">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377EAF09">
            <w:pPr>
              <w:spacing w:line="300" w:lineRule="exact"/>
              <w:ind w:firstLine="0" w:firstLineChars="0"/>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（1</w:t>
            </w:r>
            <w:r>
              <w:rPr>
                <w:rFonts w:ascii="Times New Roman" w:hAnsi="Times New Roman" w:eastAsia="仿宋"/>
                <w:color w:val="auto"/>
                <w:sz w:val="21"/>
                <w:szCs w:val="21"/>
                <w:highlight w:val="none"/>
              </w:rPr>
              <w:t>0</w:t>
            </w:r>
            <w:r>
              <w:rPr>
                <w:rFonts w:hint="eastAsia" w:ascii="Times New Roman" w:hAnsi="Times New Roman" w:eastAsia="仿宋"/>
                <w:color w:val="auto"/>
                <w:sz w:val="21"/>
                <w:szCs w:val="21"/>
                <w:highlight w:val="none"/>
              </w:rPr>
              <w:t>）本项目特定资格条件</w:t>
            </w:r>
          </w:p>
        </w:tc>
        <w:tc>
          <w:tcPr>
            <w:tcW w:w="3685" w:type="dxa"/>
          </w:tcPr>
          <w:p w14:paraId="120DBF5E">
            <w:pPr>
              <w:spacing w:line="300" w:lineRule="exact"/>
              <w:ind w:firstLine="0" w:firstLineChars="0"/>
              <w:rPr>
                <w:color w:val="auto"/>
                <w:sz w:val="21"/>
                <w:szCs w:val="21"/>
                <w:highlight w:val="none"/>
              </w:rPr>
            </w:pPr>
            <w:r>
              <w:rPr>
                <w:rFonts w:hint="eastAsia"/>
                <w:color w:val="auto"/>
                <w:sz w:val="21"/>
                <w:szCs w:val="21"/>
                <w:highlight w:val="none"/>
              </w:rPr>
              <w:t>按第一篇“三、参选人资格要求（二）“特定资格条件”的要求提交（如果有）。</w:t>
            </w:r>
          </w:p>
        </w:tc>
      </w:tr>
      <w:bookmarkEnd w:id="83"/>
      <w:bookmarkEnd w:id="84"/>
    </w:tbl>
    <w:p w14:paraId="7713C32C">
      <w:pPr>
        <w:snapToGrid w:val="0"/>
        <w:ind w:firstLine="560"/>
        <w:rPr>
          <w:rFonts w:ascii="Times New Roman" w:hAnsi="Times New Roman"/>
          <w:color w:val="auto"/>
          <w:highlight w:val="none"/>
        </w:rPr>
      </w:pPr>
      <w:r>
        <w:rPr>
          <w:rFonts w:ascii="Times New Roman" w:hAnsi="Times New Roman"/>
          <w:color w:val="auto"/>
          <w:highlight w:val="none"/>
        </w:rPr>
        <w:t>2.符合性审查。</w:t>
      </w:r>
    </w:p>
    <w:p w14:paraId="4C3377BA">
      <w:pPr>
        <w:snapToGrid w:val="0"/>
        <w:ind w:firstLine="560"/>
        <w:rPr>
          <w:rFonts w:ascii="Times New Roman" w:hAnsi="Times New Roman"/>
          <w:color w:val="auto"/>
          <w:highlight w:val="none"/>
        </w:rPr>
      </w:pPr>
      <w:r>
        <w:rPr>
          <w:rFonts w:hint="eastAsia" w:ascii="Times New Roman" w:hAnsi="Times New Roman"/>
          <w:color w:val="auto"/>
          <w:highlight w:val="none"/>
        </w:rPr>
        <w:t>比选小组</w:t>
      </w:r>
      <w:r>
        <w:rPr>
          <w:rFonts w:ascii="Times New Roman" w:hAnsi="Times New Roman"/>
          <w:color w:val="auto"/>
          <w:highlight w:val="none"/>
        </w:rPr>
        <w:t>应当对符合资格的</w:t>
      </w:r>
      <w:r>
        <w:rPr>
          <w:rFonts w:hint="eastAsia" w:ascii="Times New Roman" w:hAnsi="Times New Roman"/>
          <w:color w:val="auto"/>
          <w:highlight w:val="none"/>
        </w:rPr>
        <w:t>参选人</w:t>
      </w:r>
      <w:r>
        <w:rPr>
          <w:rFonts w:ascii="Times New Roman" w:hAnsi="Times New Roman"/>
          <w:color w:val="auto"/>
          <w:highlight w:val="none"/>
        </w:rPr>
        <w:t>的参选文件进行符合性审查，以确定其是否满足比选文件的实质性要求。符合性审查资料表如下：</w:t>
      </w:r>
    </w:p>
    <w:tbl>
      <w:tblPr>
        <w:tblStyle w:val="19"/>
        <w:tblpPr w:leftFromText="180" w:rightFromText="180" w:vertAnchor="text" w:horzAnchor="margin" w:tblpXSpec="center" w:tblpY="1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98"/>
        <w:gridCol w:w="2397"/>
        <w:gridCol w:w="4544"/>
      </w:tblGrid>
      <w:tr w14:paraId="7CFA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6" w:type="dxa"/>
            <w:vAlign w:val="center"/>
          </w:tcPr>
          <w:p w14:paraId="6D850770">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序号</w:t>
            </w:r>
          </w:p>
        </w:tc>
        <w:tc>
          <w:tcPr>
            <w:tcW w:w="3595" w:type="dxa"/>
            <w:gridSpan w:val="2"/>
            <w:vAlign w:val="center"/>
          </w:tcPr>
          <w:p w14:paraId="237B50F8">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评审因素</w:t>
            </w:r>
          </w:p>
        </w:tc>
        <w:tc>
          <w:tcPr>
            <w:tcW w:w="4544" w:type="dxa"/>
            <w:vAlign w:val="center"/>
          </w:tcPr>
          <w:p w14:paraId="4CDE088B">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评审标准</w:t>
            </w:r>
          </w:p>
        </w:tc>
      </w:tr>
      <w:tr w14:paraId="6793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846" w:type="dxa"/>
            <w:vMerge w:val="restart"/>
            <w:vAlign w:val="center"/>
          </w:tcPr>
          <w:p w14:paraId="356BC725">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p>
        </w:tc>
        <w:tc>
          <w:tcPr>
            <w:tcW w:w="1198" w:type="dxa"/>
            <w:vMerge w:val="restart"/>
            <w:vAlign w:val="center"/>
          </w:tcPr>
          <w:p w14:paraId="02C3B887">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有效性</w:t>
            </w:r>
          </w:p>
          <w:p w14:paraId="298ABD9B">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4A989D61">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参选文件签署或盖章</w:t>
            </w:r>
          </w:p>
        </w:tc>
        <w:tc>
          <w:tcPr>
            <w:tcW w:w="4544" w:type="dxa"/>
            <w:vAlign w:val="center"/>
          </w:tcPr>
          <w:p w14:paraId="5BDA7A50">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参选文件上法定代表人（或其授权代表）或自然人（参选人为自然人）的签署或盖章齐全。</w:t>
            </w:r>
          </w:p>
        </w:tc>
      </w:tr>
      <w:tr w14:paraId="0BC2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46" w:type="dxa"/>
            <w:vMerge w:val="continue"/>
            <w:vAlign w:val="center"/>
          </w:tcPr>
          <w:p w14:paraId="154CC3CE">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3D007E84">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57026F22">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参选方案</w:t>
            </w:r>
          </w:p>
        </w:tc>
        <w:tc>
          <w:tcPr>
            <w:tcW w:w="4544" w:type="dxa"/>
            <w:vAlign w:val="center"/>
          </w:tcPr>
          <w:p w14:paraId="136E5BBF">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只能有一个方案参与比选。</w:t>
            </w:r>
          </w:p>
        </w:tc>
      </w:tr>
      <w:tr w14:paraId="5FAA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46" w:type="dxa"/>
            <w:vMerge w:val="continue"/>
            <w:vAlign w:val="center"/>
          </w:tcPr>
          <w:p w14:paraId="3DD78E70">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11802A98">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7CEEBCC4">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报价唯一</w:t>
            </w:r>
          </w:p>
        </w:tc>
        <w:tc>
          <w:tcPr>
            <w:tcW w:w="4544" w:type="dxa"/>
            <w:vAlign w:val="center"/>
          </w:tcPr>
          <w:p w14:paraId="6DCCAA34">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lang w:val="zh-CN"/>
              </w:rPr>
              <w:t>只能在预算金额和最高限价内报价，</w:t>
            </w:r>
            <w:r>
              <w:rPr>
                <w:rFonts w:ascii="Times New Roman" w:hAnsi="Times New Roman" w:eastAsia="仿宋"/>
                <w:color w:val="auto"/>
                <w:sz w:val="21"/>
                <w:szCs w:val="21"/>
                <w:highlight w:val="none"/>
              </w:rPr>
              <w:t>只能有一个有效报价，不得提交选择性报价。</w:t>
            </w:r>
          </w:p>
        </w:tc>
      </w:tr>
      <w:tr w14:paraId="731F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exact"/>
        </w:trPr>
        <w:tc>
          <w:tcPr>
            <w:tcW w:w="846" w:type="dxa"/>
            <w:vAlign w:val="center"/>
          </w:tcPr>
          <w:p w14:paraId="2C472B3A">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w:t>
            </w:r>
          </w:p>
        </w:tc>
        <w:tc>
          <w:tcPr>
            <w:tcW w:w="1198" w:type="dxa"/>
            <w:vAlign w:val="center"/>
          </w:tcPr>
          <w:p w14:paraId="41521B26">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完整性</w:t>
            </w:r>
          </w:p>
          <w:p w14:paraId="05E85ACC">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3DEFFD5B">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参选文件份数</w:t>
            </w:r>
          </w:p>
        </w:tc>
        <w:tc>
          <w:tcPr>
            <w:tcW w:w="4544" w:type="dxa"/>
            <w:vAlign w:val="center"/>
          </w:tcPr>
          <w:p w14:paraId="3AD75D35">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参选文件正、副本数量符合比选文件要求。</w:t>
            </w:r>
          </w:p>
        </w:tc>
      </w:tr>
      <w:tr w14:paraId="7293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restart"/>
            <w:vAlign w:val="center"/>
          </w:tcPr>
          <w:p w14:paraId="1BE06125">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w:t>
            </w:r>
          </w:p>
        </w:tc>
        <w:tc>
          <w:tcPr>
            <w:tcW w:w="1198" w:type="dxa"/>
            <w:vMerge w:val="restart"/>
            <w:vAlign w:val="center"/>
          </w:tcPr>
          <w:p w14:paraId="09FB91A6">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响应程度</w:t>
            </w:r>
          </w:p>
          <w:p w14:paraId="130F528B">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4DDE4BAD">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参选文件服务部分内容</w:t>
            </w:r>
          </w:p>
        </w:tc>
        <w:tc>
          <w:tcPr>
            <w:tcW w:w="4544" w:type="dxa"/>
            <w:vAlign w:val="center"/>
          </w:tcPr>
          <w:p w14:paraId="640A19FE">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对本比选文件第二篇内容作出实质性响应</w:t>
            </w:r>
          </w:p>
        </w:tc>
      </w:tr>
      <w:tr w14:paraId="14D4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continue"/>
            <w:vAlign w:val="center"/>
          </w:tcPr>
          <w:p w14:paraId="32C00C6F">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0CA9BEFE">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6710C062">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参选文件商务部分内容</w:t>
            </w:r>
          </w:p>
        </w:tc>
        <w:tc>
          <w:tcPr>
            <w:tcW w:w="4544" w:type="dxa"/>
            <w:vAlign w:val="center"/>
          </w:tcPr>
          <w:p w14:paraId="08B14C97">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对本比选文件第三篇内容作出实质性响应</w:t>
            </w:r>
          </w:p>
        </w:tc>
      </w:tr>
      <w:tr w14:paraId="75EB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trPr>
        <w:tc>
          <w:tcPr>
            <w:tcW w:w="846" w:type="dxa"/>
            <w:vMerge w:val="continue"/>
            <w:vAlign w:val="center"/>
          </w:tcPr>
          <w:p w14:paraId="241C0302">
            <w:pPr>
              <w:ind w:firstLine="640"/>
              <w:jc w:val="center"/>
              <w:rPr>
                <w:rFonts w:ascii="Times New Roman" w:hAnsi="Times New Roman" w:eastAsia="仿宋"/>
                <w:color w:val="auto"/>
                <w:sz w:val="32"/>
                <w:szCs w:val="32"/>
                <w:highlight w:val="none"/>
              </w:rPr>
            </w:pPr>
          </w:p>
        </w:tc>
        <w:tc>
          <w:tcPr>
            <w:tcW w:w="1198" w:type="dxa"/>
            <w:vMerge w:val="continue"/>
            <w:vAlign w:val="center"/>
          </w:tcPr>
          <w:p w14:paraId="61AC1B52">
            <w:pPr>
              <w:spacing w:line="360" w:lineRule="exact"/>
              <w:ind w:firstLine="640"/>
              <w:rPr>
                <w:rFonts w:ascii="Times New Roman" w:hAnsi="Times New Roman" w:eastAsia="仿宋"/>
                <w:color w:val="auto"/>
                <w:sz w:val="32"/>
                <w:szCs w:val="32"/>
                <w:highlight w:val="none"/>
              </w:rPr>
            </w:pPr>
          </w:p>
        </w:tc>
        <w:tc>
          <w:tcPr>
            <w:tcW w:w="2397" w:type="dxa"/>
            <w:vAlign w:val="center"/>
          </w:tcPr>
          <w:p w14:paraId="22A11074">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比选有效期</w:t>
            </w:r>
          </w:p>
        </w:tc>
        <w:tc>
          <w:tcPr>
            <w:tcW w:w="4544" w:type="dxa"/>
            <w:vAlign w:val="center"/>
          </w:tcPr>
          <w:p w14:paraId="1800E8B1">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提交参选文件截止时间起90天。</w:t>
            </w:r>
          </w:p>
        </w:tc>
      </w:tr>
    </w:tbl>
    <w:p w14:paraId="02BD61B6">
      <w:pPr>
        <w:snapToGrid w:val="0"/>
        <w:ind w:firstLine="560"/>
        <w:rPr>
          <w:rFonts w:ascii="Times New Roman" w:hAnsi="Times New Roman" w:eastAsia="方正黑体_GBK"/>
          <w:color w:val="auto"/>
          <w:szCs w:val="28"/>
          <w:highlight w:val="none"/>
        </w:rPr>
      </w:pPr>
      <w:bookmarkStart w:id="85" w:name="_Toc21650"/>
      <w:bookmarkStart w:id="86" w:name="_Toc9094"/>
      <w:bookmarkStart w:id="87" w:name="_Toc26796"/>
      <w:bookmarkStart w:id="88" w:name="_Toc30717"/>
      <w:bookmarkStart w:id="89" w:name="_Toc14824"/>
      <w:bookmarkStart w:id="90" w:name="_Toc31997"/>
      <w:bookmarkStart w:id="91" w:name="_Toc27015"/>
      <w:bookmarkStart w:id="92" w:name="_Toc27705"/>
      <w:bookmarkStart w:id="93" w:name="_Toc27633"/>
      <w:bookmarkStart w:id="94" w:name="_Toc20171"/>
      <w:bookmarkStart w:id="95" w:name="_Toc75793519"/>
      <w:bookmarkStart w:id="96" w:name="_Toc28549"/>
      <w:bookmarkStart w:id="97" w:name="_Toc29140"/>
      <w:bookmarkStart w:id="98" w:name="_Toc30011"/>
      <w:bookmarkStart w:id="99" w:name="_Toc25341"/>
      <w:bookmarkStart w:id="100" w:name="_Toc5620"/>
      <w:r>
        <w:rPr>
          <w:rFonts w:ascii="Times New Roman" w:hAnsi="Times New Roman" w:eastAsia="方正黑体_GBK"/>
          <w:color w:val="auto"/>
          <w:szCs w:val="28"/>
          <w:highlight w:val="none"/>
        </w:rPr>
        <w:t>二、评选方法</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365A3E03">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（一）本项目采用综合评估法进行评选。</w:t>
      </w:r>
    </w:p>
    <w:p w14:paraId="3F09CA17">
      <w:pPr>
        <w:adjustRightInd w:val="0"/>
        <w:snapToGrid w:val="0"/>
        <w:ind w:firstLine="562"/>
        <w:rPr>
          <w:rFonts w:ascii="Times New Roman" w:hAnsi="Times New Roman"/>
          <w:color w:val="auto"/>
          <w:szCs w:val="28"/>
          <w:highlight w:val="none"/>
        </w:rPr>
      </w:pPr>
      <w:r>
        <w:rPr>
          <w:rFonts w:ascii="Times New Roman" w:hAnsi="Times New Roman"/>
          <w:b/>
          <w:bCs/>
          <w:color w:val="auto"/>
          <w:szCs w:val="28"/>
          <w:highlight w:val="none"/>
        </w:rPr>
        <w:t>综合评估法：</w:t>
      </w:r>
      <w:r>
        <w:rPr>
          <w:rFonts w:ascii="Times New Roman" w:hAnsi="Times New Roman"/>
          <w:color w:val="auto"/>
          <w:szCs w:val="28"/>
          <w:highlight w:val="none"/>
        </w:rPr>
        <w:t>指在满足比选文件实质性要求的前提下，按照文件中规定的各项因素进行综合评审后，以总得分最高作为第一中标（选）候选人的评审方法。</w:t>
      </w:r>
    </w:p>
    <w:p w14:paraId="759AAC65">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（1）比较与评价。按比选文件中规定的评选方法和标准，对资格审查和符合性审查合格的参选文件进行技术（服务）和商务评估。</w:t>
      </w:r>
    </w:p>
    <w:p w14:paraId="49D488F1">
      <w:pPr>
        <w:adjustRightInd w:val="0"/>
        <w:snapToGrid w:val="0"/>
        <w:ind w:firstLine="560"/>
        <w:rPr>
          <w:rFonts w:ascii="Times New Roman" w:hAnsi="Times New Roman"/>
          <w:color w:val="auto"/>
          <w:szCs w:val="28"/>
          <w:highlight w:val="none"/>
        </w:rPr>
      </w:pPr>
      <w:r>
        <w:rPr>
          <w:rFonts w:hint="eastAsia" w:ascii="Times New Roman" w:hAnsi="Times New Roman"/>
          <w:color w:val="auto"/>
          <w:szCs w:val="28"/>
          <w:highlight w:val="none"/>
        </w:rPr>
        <w:t>比选小组</w:t>
      </w:r>
      <w:r>
        <w:rPr>
          <w:rFonts w:ascii="Times New Roman" w:hAnsi="Times New Roman"/>
          <w:color w:val="auto"/>
          <w:szCs w:val="28"/>
          <w:highlight w:val="none"/>
        </w:rPr>
        <w:t>成员对每个有效参选人（通过资格审查、符合性审查的参选人）的参选文件进行评价、打分，然后由</w:t>
      </w:r>
      <w:r>
        <w:rPr>
          <w:rFonts w:hint="eastAsia" w:ascii="Times New Roman" w:hAnsi="Times New Roman"/>
          <w:color w:val="auto"/>
          <w:szCs w:val="28"/>
          <w:highlight w:val="none"/>
        </w:rPr>
        <w:t>比选小组</w:t>
      </w:r>
      <w:r>
        <w:rPr>
          <w:rFonts w:ascii="Times New Roman" w:hAnsi="Times New Roman"/>
          <w:color w:val="auto"/>
          <w:szCs w:val="28"/>
          <w:highlight w:val="none"/>
        </w:rPr>
        <w:t>对各成员打分情况进行核查及复核，个别成员对同一参选人同一评分项的打分偏离较大的，应对参选人的参选文件进行再次核对，确属打分有误的，应及时进行修正。复核后，</w:t>
      </w:r>
      <w:r>
        <w:rPr>
          <w:rFonts w:hint="eastAsia" w:ascii="Times New Roman" w:hAnsi="Times New Roman"/>
          <w:color w:val="auto"/>
          <w:szCs w:val="28"/>
          <w:highlight w:val="none"/>
        </w:rPr>
        <w:t>比选小组</w:t>
      </w:r>
      <w:r>
        <w:rPr>
          <w:rFonts w:ascii="Times New Roman" w:hAnsi="Times New Roman"/>
          <w:color w:val="auto"/>
          <w:szCs w:val="28"/>
          <w:highlight w:val="none"/>
        </w:rPr>
        <w:t>汇总每个参选人每项评分因素的得分。</w:t>
      </w:r>
    </w:p>
    <w:p w14:paraId="79964EE7">
      <w:pPr>
        <w:adjustRightInd w:val="0"/>
        <w:snapToGrid w:val="0"/>
        <w:spacing w:line="550" w:lineRule="exact"/>
        <w:ind w:firstLine="560"/>
        <w:rPr>
          <w:rFonts w:ascii="Times New Roman" w:hAnsi="Times New Roman"/>
          <w:color w:val="auto"/>
          <w:szCs w:val="28"/>
          <w:highlight w:val="none"/>
        </w:rPr>
      </w:pPr>
      <w:r>
        <w:rPr>
          <w:rFonts w:ascii="Times New Roman" w:hAnsi="Times New Roman"/>
          <w:color w:val="auto"/>
          <w:szCs w:val="28"/>
          <w:highlight w:val="none"/>
        </w:rPr>
        <w:t>（2）推荐中选候选人名单。</w:t>
      </w:r>
    </w:p>
    <w:p w14:paraId="165DED74">
      <w:pPr>
        <w:adjustRightInd w:val="0"/>
        <w:snapToGrid w:val="0"/>
        <w:spacing w:line="550" w:lineRule="exact"/>
        <w:ind w:firstLine="560" w:firstLineChars="0"/>
        <w:rPr>
          <w:rFonts w:ascii="Times New Roman" w:hAnsi="Times New Roman"/>
          <w:color w:val="auto"/>
          <w:spacing w:val="-6"/>
          <w:szCs w:val="28"/>
          <w:highlight w:val="none"/>
        </w:rPr>
      </w:pPr>
      <w:r>
        <w:rPr>
          <w:rFonts w:ascii="Times New Roman" w:hAnsi="Times New Roman"/>
          <w:color w:val="auto"/>
          <w:szCs w:val="28"/>
          <w:highlight w:val="none"/>
        </w:rPr>
        <w:t>按评审后得分由高到低的排列顺序推荐综合得分排名前三的参选人为本项目中选候选人，排名第一的为第一中选候选人。得分相同的，按技术（服</w:t>
      </w:r>
      <w:r>
        <w:rPr>
          <w:rFonts w:ascii="Times New Roman" w:hAnsi="Times New Roman"/>
          <w:color w:val="auto"/>
          <w:spacing w:val="-6"/>
          <w:szCs w:val="28"/>
          <w:highlight w:val="none"/>
        </w:rPr>
        <w:t>务</w:t>
      </w:r>
      <w:r>
        <w:rPr>
          <w:rFonts w:ascii="Times New Roman" w:hAnsi="Times New Roman"/>
          <w:color w:val="auto"/>
          <w:szCs w:val="28"/>
          <w:highlight w:val="none"/>
        </w:rPr>
        <w:t>）</w:t>
      </w:r>
      <w:r>
        <w:rPr>
          <w:rFonts w:ascii="Times New Roman" w:hAnsi="Times New Roman"/>
          <w:color w:val="auto"/>
          <w:spacing w:val="-6"/>
          <w:szCs w:val="28"/>
          <w:highlight w:val="none"/>
        </w:rPr>
        <w:t>部分得分由高到低顺序排列，排名第一的为第一中选候选人。</w:t>
      </w:r>
    </w:p>
    <w:p w14:paraId="0009C758">
      <w:pPr>
        <w:numPr>
          <w:ilvl w:val="0"/>
          <w:numId w:val="4"/>
        </w:numPr>
        <w:adjustRightInd w:val="0"/>
        <w:snapToGrid w:val="0"/>
        <w:ind w:firstLine="560"/>
        <w:rPr>
          <w:rFonts w:ascii="Times New Roman" w:hAnsi="Times New Roman"/>
          <w:color w:val="auto"/>
          <w:highlight w:val="none"/>
        </w:rPr>
      </w:pPr>
      <w:r>
        <w:rPr>
          <w:rFonts w:ascii="Times New Roman" w:hAnsi="Times New Roman"/>
          <w:color w:val="auto"/>
          <w:szCs w:val="28"/>
          <w:highlight w:val="none"/>
        </w:rPr>
        <w:t>澄清有关问题。对参选文件中含义不明确、同类问题表述不一致或者有明显文字和计算错误的内容，</w:t>
      </w:r>
      <w:r>
        <w:rPr>
          <w:rFonts w:hint="eastAsia" w:ascii="Times New Roman" w:hAnsi="Times New Roman"/>
          <w:color w:val="auto"/>
          <w:szCs w:val="28"/>
          <w:highlight w:val="none"/>
        </w:rPr>
        <w:t>比选小组</w:t>
      </w:r>
      <w:r>
        <w:rPr>
          <w:rFonts w:ascii="Times New Roman" w:hAnsi="Times New Roman"/>
          <w:color w:val="auto"/>
          <w:szCs w:val="28"/>
          <w:highlight w:val="none"/>
        </w:rPr>
        <w:t>可以书面形式（应当由</w:t>
      </w:r>
      <w:r>
        <w:rPr>
          <w:rFonts w:hint="eastAsia" w:ascii="Times New Roman" w:hAnsi="Times New Roman"/>
          <w:color w:val="auto"/>
          <w:szCs w:val="28"/>
          <w:highlight w:val="none"/>
        </w:rPr>
        <w:t>比选小组</w:t>
      </w:r>
      <w:r>
        <w:rPr>
          <w:rFonts w:ascii="Times New Roman" w:hAnsi="Times New Roman"/>
          <w:color w:val="auto"/>
          <w:szCs w:val="28"/>
          <w:highlight w:val="none"/>
        </w:rPr>
        <w:t>成员签字）要求参选人作出必要澄清、说明或者纠正。参选人的澄清、说明或者补正应当采用书面形式，由其法定代表人（或其授权代表）或自然人（参选人为自然人）签字，其澄清的内容不得超出比选文件的范围或者改变参选文件的实质性内容。</w:t>
      </w:r>
    </w:p>
    <w:p w14:paraId="132A55EA">
      <w:pPr>
        <w:numPr>
          <w:ilvl w:val="255"/>
          <w:numId w:val="0"/>
        </w:numPr>
        <w:adjustRightInd w:val="0"/>
        <w:snapToGrid w:val="0"/>
        <w:ind w:firstLine="560"/>
        <w:jc w:val="left"/>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三、评审标准</w:t>
      </w:r>
    </w:p>
    <w:tbl>
      <w:tblPr>
        <w:tblStyle w:val="19"/>
        <w:tblW w:w="9542"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454"/>
        <w:gridCol w:w="1418"/>
        <w:gridCol w:w="4084"/>
        <w:gridCol w:w="2105"/>
      </w:tblGrid>
      <w:tr w14:paraId="230F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1" w:type="dxa"/>
            <w:vAlign w:val="center"/>
          </w:tcPr>
          <w:p w14:paraId="6199D15B">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1454" w:type="dxa"/>
            <w:vAlign w:val="center"/>
          </w:tcPr>
          <w:p w14:paraId="6B585BE6">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评分因素及权值</w:t>
            </w:r>
          </w:p>
        </w:tc>
        <w:tc>
          <w:tcPr>
            <w:tcW w:w="1418" w:type="dxa"/>
            <w:vAlign w:val="center"/>
          </w:tcPr>
          <w:p w14:paraId="471812F5">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分值          （100分）</w:t>
            </w:r>
          </w:p>
        </w:tc>
        <w:tc>
          <w:tcPr>
            <w:tcW w:w="4084" w:type="dxa"/>
            <w:vAlign w:val="center"/>
          </w:tcPr>
          <w:p w14:paraId="2193B08E">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评分标准</w:t>
            </w:r>
          </w:p>
        </w:tc>
        <w:tc>
          <w:tcPr>
            <w:tcW w:w="2105" w:type="dxa"/>
            <w:vAlign w:val="center"/>
          </w:tcPr>
          <w:p w14:paraId="3D0CB51A">
            <w:pPr>
              <w:ind w:firstLine="42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说明</w:t>
            </w:r>
          </w:p>
        </w:tc>
      </w:tr>
      <w:tr w14:paraId="6198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1" w:type="dxa"/>
            <w:vAlign w:val="center"/>
          </w:tcPr>
          <w:p w14:paraId="348FACC9">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54" w:type="dxa"/>
            <w:vAlign w:val="center"/>
          </w:tcPr>
          <w:p w14:paraId="18CB0E82">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报价部分   （30%）</w:t>
            </w:r>
          </w:p>
        </w:tc>
        <w:tc>
          <w:tcPr>
            <w:tcW w:w="1418" w:type="dxa"/>
            <w:vAlign w:val="center"/>
          </w:tcPr>
          <w:p w14:paraId="1C2D3566">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30分</w:t>
            </w:r>
          </w:p>
        </w:tc>
        <w:tc>
          <w:tcPr>
            <w:tcW w:w="4084" w:type="dxa"/>
            <w:vAlign w:val="center"/>
          </w:tcPr>
          <w:p w14:paraId="599ED5DE">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有效的比选报价中的最低价为评标基准价，其价格分为满分。其他参选人的价格分统一按照下列公式计算：</w:t>
            </w:r>
          </w:p>
          <w:p w14:paraId="68D7E131">
            <w:pPr>
              <w:spacing w:line="240" w:lineRule="auto"/>
              <w:ind w:firstLine="0" w:firstLineChars="0"/>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比选报价得分＝（评标基准价/比选报价）×价格权重×100。</w:t>
            </w:r>
          </w:p>
        </w:tc>
        <w:tc>
          <w:tcPr>
            <w:tcW w:w="2105" w:type="dxa"/>
            <w:vAlign w:val="center"/>
          </w:tcPr>
          <w:p w14:paraId="378DC128">
            <w:pPr>
              <w:spacing w:line="240" w:lineRule="auto"/>
              <w:ind w:firstLine="0" w:firstLineChars="0"/>
              <w:rPr>
                <w:rFonts w:ascii="仿宋" w:hAnsi="仿宋" w:eastAsia="仿宋" w:cs="仿宋"/>
                <w:color w:val="auto"/>
                <w:sz w:val="21"/>
                <w:szCs w:val="21"/>
                <w:highlight w:val="none"/>
              </w:rPr>
            </w:pPr>
          </w:p>
          <w:p w14:paraId="63724F70">
            <w:pPr>
              <w:ind w:firstLine="420"/>
              <w:rPr>
                <w:rFonts w:ascii="仿宋" w:hAnsi="仿宋" w:eastAsia="仿宋" w:cs="仿宋"/>
                <w:color w:val="auto"/>
                <w:sz w:val="21"/>
                <w:szCs w:val="21"/>
                <w:highlight w:val="none"/>
              </w:rPr>
            </w:pPr>
          </w:p>
        </w:tc>
      </w:tr>
      <w:tr w14:paraId="1314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481" w:type="dxa"/>
            <w:vMerge w:val="restart"/>
            <w:vAlign w:val="center"/>
          </w:tcPr>
          <w:p w14:paraId="7C078D10">
            <w:pPr>
              <w:spacing w:line="240" w:lineRule="auto"/>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454" w:type="dxa"/>
            <w:vMerge w:val="restart"/>
            <w:vAlign w:val="center"/>
          </w:tcPr>
          <w:p w14:paraId="11346A67">
            <w:pPr>
              <w:spacing w:line="400" w:lineRule="exact"/>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服务部分</w:t>
            </w:r>
          </w:p>
          <w:p w14:paraId="35363A72">
            <w:pPr>
              <w:spacing w:line="400" w:lineRule="exact"/>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(40%)</w:t>
            </w:r>
          </w:p>
        </w:tc>
        <w:tc>
          <w:tcPr>
            <w:tcW w:w="1418" w:type="dxa"/>
            <w:shd w:val="clear" w:color="auto" w:fill="auto"/>
            <w:vAlign w:val="center"/>
          </w:tcPr>
          <w:p w14:paraId="13C8E883">
            <w:pPr>
              <w:spacing w:line="300" w:lineRule="exact"/>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技术</w:t>
            </w:r>
          </w:p>
          <w:p w14:paraId="3524F47C">
            <w:pPr>
              <w:spacing w:line="300" w:lineRule="exact"/>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服务方案（15分）</w:t>
            </w:r>
          </w:p>
        </w:tc>
        <w:tc>
          <w:tcPr>
            <w:tcW w:w="4084" w:type="dxa"/>
            <w:vAlign w:val="center"/>
          </w:tcPr>
          <w:p w14:paraId="705E4B57">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针对本项目制定技术服务方案，方案内容包括但不限于对本项目的理解、服务目标、服务内容、测评方法和测评流程、服务成果。</w:t>
            </w:r>
          </w:p>
          <w:p w14:paraId="3591030A">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方案完全满足相应采购需求：</w:t>
            </w:r>
          </w:p>
          <w:p w14:paraId="1CA70175">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方案内容不存在瑕疵的得15分； </w:t>
            </w:r>
          </w:p>
          <w:p w14:paraId="1F890700">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方案内容存在1处瑕疵的得12分； </w:t>
            </w:r>
          </w:p>
          <w:p w14:paraId="5907A624">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方案内容存在2处瑕疵的得9分； </w:t>
            </w:r>
          </w:p>
          <w:p w14:paraId="7D3D6B92">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方案内容存在3处瑕疵的得6分； </w:t>
            </w:r>
          </w:p>
          <w:p w14:paraId="10C090F3">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方案内容存在4处及以上瑕疵的得3分；</w:t>
            </w:r>
          </w:p>
          <w:p w14:paraId="119B1CE6">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未提供得0分。</w:t>
            </w:r>
          </w:p>
        </w:tc>
        <w:tc>
          <w:tcPr>
            <w:tcW w:w="2105" w:type="dxa"/>
            <w:vMerge w:val="restart"/>
            <w:vAlign w:val="center"/>
          </w:tcPr>
          <w:p w14:paraId="0D131411">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本项内容中所称的“瑕疵”指的是以下任意一种情形：</w:t>
            </w:r>
          </w:p>
          <w:p w14:paraId="595226C7">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方案内容不完整、缺项；</w:t>
            </w:r>
          </w:p>
          <w:p w14:paraId="7B2E2C1D">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方案内容不适用本项目特性或非专门针对本项目制定；</w:t>
            </w:r>
          </w:p>
          <w:p w14:paraId="63E4C7AC">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方案内容不具备落地性；</w:t>
            </w:r>
          </w:p>
          <w:p w14:paraId="13A50021">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方案内容表述不清晰、无连贯性、存在逻辑漏洞、常识错误等；</w:t>
            </w:r>
          </w:p>
          <w:p w14:paraId="143F6AFD">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方案内容表述前后矛盾；</w:t>
            </w:r>
          </w:p>
          <w:p w14:paraId="2294D4BF">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方案中提出的措施举措不利于本项目目标的实现；</w:t>
            </w:r>
          </w:p>
          <w:p w14:paraId="7CC5D062">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现有技术条件下不可能出现的情形等。</w:t>
            </w:r>
          </w:p>
          <w:p w14:paraId="1C8BE777">
            <w:pPr>
              <w:spacing w:line="240" w:lineRule="auto"/>
              <w:ind w:firstLine="420"/>
              <w:jc w:val="left"/>
              <w:rPr>
                <w:rFonts w:ascii="仿宋" w:hAnsi="仿宋" w:eastAsia="仿宋" w:cs="仿宋"/>
                <w:color w:val="auto"/>
                <w:sz w:val="21"/>
                <w:szCs w:val="21"/>
                <w:highlight w:val="none"/>
              </w:rPr>
            </w:pPr>
          </w:p>
        </w:tc>
      </w:tr>
      <w:tr w14:paraId="7C06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1" w:type="dxa"/>
            <w:vMerge w:val="continue"/>
            <w:vAlign w:val="center"/>
          </w:tcPr>
          <w:p w14:paraId="21A2092C">
            <w:pPr>
              <w:spacing w:line="240" w:lineRule="auto"/>
              <w:ind w:firstLine="0" w:firstLineChars="0"/>
              <w:jc w:val="center"/>
              <w:rPr>
                <w:rFonts w:ascii="仿宋" w:hAnsi="仿宋" w:eastAsia="仿宋" w:cs="仿宋"/>
                <w:color w:val="auto"/>
                <w:sz w:val="21"/>
                <w:szCs w:val="21"/>
                <w:highlight w:val="none"/>
              </w:rPr>
            </w:pPr>
          </w:p>
        </w:tc>
        <w:tc>
          <w:tcPr>
            <w:tcW w:w="1454" w:type="dxa"/>
            <w:vMerge w:val="continue"/>
            <w:vAlign w:val="center"/>
          </w:tcPr>
          <w:p w14:paraId="1F716B98">
            <w:pPr>
              <w:spacing w:line="400" w:lineRule="exact"/>
              <w:ind w:firstLine="0" w:firstLineChars="0"/>
              <w:jc w:val="center"/>
              <w:rPr>
                <w:color w:val="auto"/>
                <w:highlight w:val="none"/>
              </w:rPr>
            </w:pPr>
          </w:p>
        </w:tc>
        <w:tc>
          <w:tcPr>
            <w:tcW w:w="1418" w:type="dxa"/>
            <w:shd w:val="clear" w:color="auto" w:fill="auto"/>
            <w:vAlign w:val="center"/>
          </w:tcPr>
          <w:p w14:paraId="39E7CA84">
            <w:pPr>
              <w:spacing w:line="300" w:lineRule="exact"/>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进度保障</w:t>
            </w:r>
          </w:p>
          <w:p w14:paraId="61BA2886">
            <w:pPr>
              <w:spacing w:line="300" w:lineRule="exact"/>
              <w:ind w:firstLine="0" w:firstLineChars="0"/>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ascii="仿宋" w:hAnsi="仿宋" w:eastAsia="仿宋" w:cs="仿宋"/>
                <w:color w:val="auto"/>
                <w:sz w:val="21"/>
                <w:szCs w:val="21"/>
                <w:highlight w:val="none"/>
              </w:rPr>
              <w:t>10</w:t>
            </w:r>
            <w:r>
              <w:rPr>
                <w:rFonts w:hint="eastAsia" w:ascii="仿宋" w:hAnsi="仿宋" w:eastAsia="仿宋" w:cs="仿宋"/>
                <w:color w:val="auto"/>
                <w:sz w:val="21"/>
                <w:szCs w:val="21"/>
                <w:highlight w:val="none"/>
              </w:rPr>
              <w:t>分）</w:t>
            </w:r>
          </w:p>
        </w:tc>
        <w:tc>
          <w:tcPr>
            <w:tcW w:w="4084" w:type="dxa"/>
            <w:vAlign w:val="center"/>
          </w:tcPr>
          <w:p w14:paraId="3275B37A">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针对本项目制定进度保障方案，方案内容包括但不限于进度管控机制、进度保障措施。</w:t>
            </w:r>
          </w:p>
          <w:p w14:paraId="7B02FC4E">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方案完全满足相应采购需求：</w:t>
            </w:r>
          </w:p>
          <w:p w14:paraId="307FFF2A">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方案内容不存在瑕疵的得10分； </w:t>
            </w:r>
          </w:p>
          <w:p w14:paraId="396CA94D">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方案内容存在1处瑕疵的得7分； </w:t>
            </w:r>
          </w:p>
          <w:p w14:paraId="18A7CDE9">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方案内容存在2处瑕疵的得4分； </w:t>
            </w:r>
          </w:p>
          <w:p w14:paraId="78931C70">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方案内容存在3处瑕疵的得1分； </w:t>
            </w:r>
          </w:p>
          <w:p w14:paraId="01AC46A4">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方案内容存在4处及以上瑕疵或未提供得0分。</w:t>
            </w:r>
          </w:p>
        </w:tc>
        <w:tc>
          <w:tcPr>
            <w:tcW w:w="2105" w:type="dxa"/>
            <w:vMerge w:val="continue"/>
            <w:vAlign w:val="center"/>
          </w:tcPr>
          <w:p w14:paraId="0555F68E">
            <w:pPr>
              <w:spacing w:line="240" w:lineRule="auto"/>
              <w:ind w:firstLine="420"/>
              <w:jc w:val="left"/>
              <w:rPr>
                <w:rFonts w:ascii="仿宋" w:hAnsi="仿宋" w:eastAsia="仿宋" w:cs="仿宋"/>
                <w:color w:val="auto"/>
                <w:sz w:val="21"/>
                <w:szCs w:val="21"/>
                <w:highlight w:val="none"/>
              </w:rPr>
            </w:pPr>
          </w:p>
        </w:tc>
      </w:tr>
      <w:tr w14:paraId="071B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481" w:type="dxa"/>
            <w:vMerge w:val="continue"/>
            <w:vAlign w:val="center"/>
          </w:tcPr>
          <w:p w14:paraId="3BB331C9">
            <w:pPr>
              <w:spacing w:line="240" w:lineRule="auto"/>
              <w:ind w:firstLine="0" w:firstLineChars="0"/>
              <w:jc w:val="left"/>
              <w:rPr>
                <w:rFonts w:ascii="仿宋" w:hAnsi="仿宋" w:eastAsia="仿宋" w:cs="仿宋"/>
                <w:color w:val="auto"/>
                <w:sz w:val="21"/>
                <w:szCs w:val="21"/>
                <w:highlight w:val="none"/>
              </w:rPr>
            </w:pPr>
          </w:p>
        </w:tc>
        <w:tc>
          <w:tcPr>
            <w:tcW w:w="1454" w:type="dxa"/>
            <w:vMerge w:val="continue"/>
            <w:vAlign w:val="center"/>
          </w:tcPr>
          <w:p w14:paraId="073384E5">
            <w:pPr>
              <w:spacing w:line="400" w:lineRule="exact"/>
              <w:ind w:firstLine="0" w:firstLineChars="0"/>
              <w:jc w:val="left"/>
              <w:rPr>
                <w:rFonts w:ascii="仿宋" w:hAnsi="仿宋" w:eastAsia="仿宋" w:cs="仿宋"/>
                <w:color w:val="auto"/>
                <w:sz w:val="21"/>
                <w:szCs w:val="21"/>
                <w:highlight w:val="none"/>
              </w:rPr>
            </w:pPr>
          </w:p>
        </w:tc>
        <w:tc>
          <w:tcPr>
            <w:tcW w:w="1418" w:type="dxa"/>
            <w:shd w:val="clear" w:color="auto" w:fill="auto"/>
            <w:vAlign w:val="center"/>
          </w:tcPr>
          <w:p w14:paraId="4FD4C189">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质量保障方案（10分）</w:t>
            </w:r>
          </w:p>
        </w:tc>
        <w:tc>
          <w:tcPr>
            <w:tcW w:w="4084" w:type="dxa"/>
            <w:vAlign w:val="center"/>
          </w:tcPr>
          <w:p w14:paraId="2F283608">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针对本项目制定质量保障方案，方案内容包括但不限于质量目标、质量保障制度、质量管理组织、质量保障人员、问题整改管控机制。</w:t>
            </w:r>
          </w:p>
          <w:p w14:paraId="381A0229">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方案完全满足相应采购需求：</w:t>
            </w:r>
          </w:p>
          <w:p w14:paraId="03FE636A">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方案内容不存在瑕疵的得10分； </w:t>
            </w:r>
          </w:p>
          <w:p w14:paraId="235A55F2">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方案内容存在1处瑕疵的得7分； </w:t>
            </w:r>
          </w:p>
          <w:p w14:paraId="7F9AB020">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方案内容存在2处瑕疵的得4分； </w:t>
            </w:r>
          </w:p>
          <w:p w14:paraId="54FFABC8">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方案内容存在3处瑕疵的得1分； </w:t>
            </w:r>
          </w:p>
          <w:p w14:paraId="62EA5B1A">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方案内容存在4处及以上瑕疵或未提供得0分。</w:t>
            </w:r>
          </w:p>
        </w:tc>
        <w:tc>
          <w:tcPr>
            <w:tcW w:w="2105" w:type="dxa"/>
            <w:vMerge w:val="continue"/>
            <w:vAlign w:val="center"/>
          </w:tcPr>
          <w:p w14:paraId="7E419670">
            <w:pPr>
              <w:spacing w:line="240" w:lineRule="auto"/>
              <w:ind w:firstLine="420"/>
              <w:jc w:val="left"/>
              <w:rPr>
                <w:rFonts w:ascii="仿宋" w:hAnsi="仿宋" w:eastAsia="仿宋" w:cs="仿宋"/>
                <w:color w:val="auto"/>
                <w:sz w:val="21"/>
                <w:szCs w:val="21"/>
                <w:highlight w:val="none"/>
              </w:rPr>
            </w:pPr>
          </w:p>
        </w:tc>
      </w:tr>
      <w:tr w14:paraId="392A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481" w:type="dxa"/>
            <w:vMerge w:val="continue"/>
            <w:vAlign w:val="center"/>
          </w:tcPr>
          <w:p w14:paraId="544711D2">
            <w:pPr>
              <w:spacing w:line="240" w:lineRule="auto"/>
              <w:ind w:firstLine="0" w:firstLineChars="0"/>
              <w:jc w:val="left"/>
              <w:rPr>
                <w:rFonts w:ascii="仿宋" w:hAnsi="仿宋" w:eastAsia="仿宋" w:cs="仿宋"/>
                <w:color w:val="auto"/>
                <w:sz w:val="21"/>
                <w:szCs w:val="21"/>
                <w:highlight w:val="none"/>
              </w:rPr>
            </w:pPr>
          </w:p>
        </w:tc>
        <w:tc>
          <w:tcPr>
            <w:tcW w:w="1454" w:type="dxa"/>
            <w:vMerge w:val="continue"/>
            <w:vAlign w:val="center"/>
          </w:tcPr>
          <w:p w14:paraId="0B458A8B">
            <w:pPr>
              <w:spacing w:line="240" w:lineRule="auto"/>
              <w:ind w:firstLine="0" w:firstLineChars="0"/>
              <w:jc w:val="left"/>
              <w:rPr>
                <w:rFonts w:ascii="仿宋" w:hAnsi="仿宋" w:eastAsia="仿宋" w:cs="仿宋"/>
                <w:color w:val="auto"/>
                <w:sz w:val="21"/>
                <w:szCs w:val="21"/>
                <w:highlight w:val="none"/>
              </w:rPr>
            </w:pPr>
          </w:p>
        </w:tc>
        <w:tc>
          <w:tcPr>
            <w:tcW w:w="1418" w:type="dxa"/>
            <w:shd w:val="clear" w:color="auto" w:fill="auto"/>
            <w:vAlign w:val="center"/>
          </w:tcPr>
          <w:p w14:paraId="7FCBD7AD">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应急处置方案（5分）</w:t>
            </w:r>
          </w:p>
        </w:tc>
        <w:tc>
          <w:tcPr>
            <w:tcW w:w="4084" w:type="dxa"/>
            <w:vAlign w:val="center"/>
          </w:tcPr>
          <w:p w14:paraId="4DB10575">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针对本项目制定应急处置方案，方案内容包括但不限于风险识别、风险管控、风险应对措施、人员应急保障措施。</w:t>
            </w:r>
          </w:p>
          <w:p w14:paraId="63959EAB">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方案完全满足相应采购需求：</w:t>
            </w:r>
          </w:p>
          <w:p w14:paraId="46D92FB8">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方案内容不存在瑕疵的得5分； </w:t>
            </w:r>
          </w:p>
          <w:p w14:paraId="7A409CD0">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方案内容存在1处瑕疵的得3分； </w:t>
            </w:r>
          </w:p>
          <w:p w14:paraId="75CB0594">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方案内容存在2处瑕疵的得1分； </w:t>
            </w:r>
          </w:p>
          <w:p w14:paraId="0C42A57C">
            <w:pPr>
              <w:spacing w:line="300" w:lineRule="exact"/>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方案内容存在3处及 以上瑕疵的或未提供的得0分。</w:t>
            </w:r>
          </w:p>
        </w:tc>
        <w:tc>
          <w:tcPr>
            <w:tcW w:w="2105" w:type="dxa"/>
            <w:vMerge w:val="continue"/>
            <w:vAlign w:val="center"/>
          </w:tcPr>
          <w:p w14:paraId="5BE412C1">
            <w:pPr>
              <w:spacing w:line="240" w:lineRule="auto"/>
              <w:ind w:firstLine="0" w:firstLineChars="0"/>
              <w:jc w:val="left"/>
              <w:rPr>
                <w:rFonts w:ascii="仿宋" w:hAnsi="仿宋" w:eastAsia="仿宋" w:cs="仿宋"/>
                <w:color w:val="auto"/>
                <w:sz w:val="21"/>
                <w:szCs w:val="21"/>
                <w:highlight w:val="none"/>
              </w:rPr>
            </w:pPr>
          </w:p>
        </w:tc>
      </w:tr>
      <w:tr w14:paraId="744B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481" w:type="dxa"/>
            <w:vMerge w:val="restart"/>
            <w:vAlign w:val="center"/>
          </w:tcPr>
          <w:p w14:paraId="30052CC5">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454" w:type="dxa"/>
            <w:vMerge w:val="restart"/>
            <w:vAlign w:val="center"/>
          </w:tcPr>
          <w:p w14:paraId="5E0C4430">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商务部分</w:t>
            </w:r>
          </w:p>
          <w:p w14:paraId="31D0E65B">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rPr>
              <w:t>30%)</w:t>
            </w:r>
          </w:p>
        </w:tc>
        <w:tc>
          <w:tcPr>
            <w:tcW w:w="1418" w:type="dxa"/>
            <w:vAlign w:val="center"/>
          </w:tcPr>
          <w:p w14:paraId="5339C65F">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企业资信</w:t>
            </w:r>
          </w:p>
          <w:p w14:paraId="3315EBFF">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（10分）</w:t>
            </w:r>
          </w:p>
        </w:tc>
        <w:tc>
          <w:tcPr>
            <w:tcW w:w="4084" w:type="dxa"/>
            <w:vAlign w:val="center"/>
          </w:tcPr>
          <w:p w14:paraId="46088C25">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1.参选人具有中国信息安全测评中心颁发的信息安全风险评估服务资质得4分</w:t>
            </w:r>
          </w:p>
          <w:p w14:paraId="63D9DB95">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2.参选人具有中国网络安全审查认证和市场监管大数据中心颁发信息安全应急处理服务资质证书得3分；</w:t>
            </w:r>
          </w:p>
          <w:p w14:paraId="7A1427AD">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ascii="仿宋" w:hAnsi="仿宋" w:eastAsia="仿宋" w:cs="仿宋"/>
                <w:color w:val="auto"/>
                <w:sz w:val="21"/>
                <w:szCs w:val="21"/>
                <w:highlight w:val="none"/>
              </w:rPr>
              <w:t>.</w:t>
            </w:r>
            <w:r>
              <w:rPr>
                <w:rFonts w:hint="eastAsia" w:ascii="仿宋" w:hAnsi="仿宋" w:eastAsia="仿宋" w:cs="仿宋"/>
                <w:color w:val="auto"/>
                <w:sz w:val="21"/>
                <w:szCs w:val="21"/>
                <w:highlight w:val="none"/>
              </w:rPr>
              <w:t>参选人具有省级（直辖市）网络与信息安全信息通报中心支撑单位得3分。</w:t>
            </w:r>
          </w:p>
          <w:p w14:paraId="4EB8B1B0">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注：提供相关证明材料复印件加盖</w:t>
            </w:r>
            <w:r>
              <w:rPr>
                <w:rFonts w:hint="eastAsia" w:ascii="仿宋" w:hAnsi="仿宋" w:eastAsia="仿宋" w:cs="仿宋"/>
                <w:color w:val="auto"/>
                <w:sz w:val="21"/>
                <w:szCs w:val="21"/>
                <w:highlight w:val="none"/>
                <w:lang w:val="en-US" w:eastAsia="zh-CN"/>
              </w:rPr>
              <w:t>参选人</w:t>
            </w:r>
            <w:r>
              <w:rPr>
                <w:rFonts w:hint="eastAsia" w:ascii="仿宋" w:hAnsi="仿宋" w:eastAsia="仿宋" w:cs="仿宋"/>
                <w:color w:val="auto"/>
                <w:sz w:val="21"/>
                <w:szCs w:val="21"/>
                <w:highlight w:val="none"/>
              </w:rPr>
              <w:t>公章。</w:t>
            </w:r>
          </w:p>
        </w:tc>
        <w:tc>
          <w:tcPr>
            <w:tcW w:w="2105" w:type="dxa"/>
            <w:vAlign w:val="center"/>
          </w:tcPr>
          <w:p w14:paraId="27CBC1F6">
            <w:pPr>
              <w:spacing w:line="240" w:lineRule="auto"/>
              <w:ind w:firstLine="0" w:firstLineChars="0"/>
              <w:jc w:val="left"/>
              <w:rPr>
                <w:rFonts w:ascii="仿宋" w:hAnsi="仿宋" w:eastAsia="仿宋" w:cs="仿宋"/>
                <w:color w:val="auto"/>
                <w:sz w:val="21"/>
                <w:szCs w:val="21"/>
                <w:highlight w:val="none"/>
              </w:rPr>
            </w:pPr>
          </w:p>
        </w:tc>
      </w:tr>
      <w:tr w14:paraId="4E11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481" w:type="dxa"/>
            <w:vMerge w:val="continue"/>
            <w:vAlign w:val="center"/>
          </w:tcPr>
          <w:p w14:paraId="4030AC55">
            <w:pPr>
              <w:spacing w:line="240" w:lineRule="auto"/>
              <w:ind w:firstLine="0" w:firstLineChars="0"/>
              <w:jc w:val="left"/>
              <w:rPr>
                <w:rFonts w:ascii="仿宋" w:hAnsi="仿宋" w:eastAsia="仿宋" w:cs="仿宋"/>
                <w:color w:val="auto"/>
                <w:sz w:val="21"/>
                <w:szCs w:val="21"/>
                <w:highlight w:val="none"/>
              </w:rPr>
            </w:pPr>
          </w:p>
        </w:tc>
        <w:tc>
          <w:tcPr>
            <w:tcW w:w="1454" w:type="dxa"/>
            <w:vMerge w:val="continue"/>
            <w:vAlign w:val="center"/>
          </w:tcPr>
          <w:p w14:paraId="6A6D10BC">
            <w:pPr>
              <w:spacing w:line="240" w:lineRule="auto"/>
              <w:ind w:firstLine="0" w:firstLineChars="0"/>
              <w:jc w:val="left"/>
              <w:rPr>
                <w:rFonts w:ascii="仿宋" w:hAnsi="仿宋" w:eastAsia="仿宋" w:cs="仿宋"/>
                <w:color w:val="auto"/>
                <w:sz w:val="21"/>
                <w:szCs w:val="21"/>
                <w:highlight w:val="none"/>
              </w:rPr>
            </w:pPr>
          </w:p>
        </w:tc>
        <w:tc>
          <w:tcPr>
            <w:tcW w:w="1418" w:type="dxa"/>
            <w:vAlign w:val="center"/>
          </w:tcPr>
          <w:p w14:paraId="5239EFC3">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企业业绩（10分）</w:t>
            </w:r>
          </w:p>
        </w:tc>
        <w:tc>
          <w:tcPr>
            <w:tcW w:w="4084" w:type="dxa"/>
            <w:vAlign w:val="center"/>
          </w:tcPr>
          <w:p w14:paraId="39AA4B86">
            <w:pPr>
              <w:numPr>
                <w:ilvl w:val="255"/>
                <w:numId w:val="0"/>
              </w:numPr>
              <w:spacing w:line="240" w:lineRule="auto"/>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参</w:t>
            </w:r>
            <w:r>
              <w:rPr>
                <w:rFonts w:hint="eastAsia" w:ascii="仿宋" w:hAnsi="仿宋" w:eastAsia="仿宋" w:cs="仿宋"/>
                <w:color w:val="auto"/>
                <w:sz w:val="21"/>
                <w:szCs w:val="21"/>
                <w:highlight w:val="none"/>
              </w:rPr>
              <w:t>选人自2023年1月1日至今每有一个等级保护测评相关案例等得5分，最多得10分。</w:t>
            </w:r>
          </w:p>
        </w:tc>
        <w:tc>
          <w:tcPr>
            <w:tcW w:w="2105" w:type="dxa"/>
            <w:vAlign w:val="center"/>
          </w:tcPr>
          <w:p w14:paraId="516429E0">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注：提供相关合同复印件或成交/中选/中标通知书加盖参选人公章。</w:t>
            </w:r>
          </w:p>
        </w:tc>
      </w:tr>
      <w:tr w14:paraId="6420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1" w:type="dxa"/>
            <w:vMerge w:val="continue"/>
            <w:vAlign w:val="center"/>
          </w:tcPr>
          <w:p w14:paraId="749137FD">
            <w:pPr>
              <w:spacing w:line="240" w:lineRule="auto"/>
              <w:ind w:firstLine="0" w:firstLineChars="0"/>
              <w:jc w:val="left"/>
              <w:rPr>
                <w:rFonts w:ascii="仿宋" w:hAnsi="仿宋" w:eastAsia="仿宋" w:cs="仿宋"/>
                <w:color w:val="auto"/>
                <w:sz w:val="21"/>
                <w:szCs w:val="21"/>
                <w:highlight w:val="none"/>
              </w:rPr>
            </w:pPr>
          </w:p>
        </w:tc>
        <w:tc>
          <w:tcPr>
            <w:tcW w:w="1454" w:type="dxa"/>
            <w:vMerge w:val="continue"/>
            <w:vAlign w:val="center"/>
          </w:tcPr>
          <w:p w14:paraId="0225CB06">
            <w:pPr>
              <w:spacing w:line="240" w:lineRule="auto"/>
              <w:ind w:firstLine="0" w:firstLineChars="0"/>
              <w:jc w:val="left"/>
              <w:rPr>
                <w:rFonts w:ascii="仿宋" w:hAnsi="仿宋" w:eastAsia="仿宋" w:cs="仿宋"/>
                <w:color w:val="auto"/>
                <w:sz w:val="21"/>
                <w:szCs w:val="21"/>
                <w:highlight w:val="none"/>
              </w:rPr>
            </w:pPr>
          </w:p>
        </w:tc>
        <w:tc>
          <w:tcPr>
            <w:tcW w:w="1418" w:type="dxa"/>
            <w:vAlign w:val="center"/>
          </w:tcPr>
          <w:p w14:paraId="66CE2496">
            <w:pPr>
              <w:spacing w:line="240" w:lineRule="auto"/>
              <w:ind w:firstLine="0" w:firstLineChars="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技术力量（10分）</w:t>
            </w:r>
          </w:p>
        </w:tc>
        <w:tc>
          <w:tcPr>
            <w:tcW w:w="4084" w:type="dxa"/>
            <w:vAlign w:val="center"/>
          </w:tcPr>
          <w:p w14:paraId="4115B2AB">
            <w:pPr>
              <w:numPr>
                <w:ilvl w:val="255"/>
                <w:numId w:val="0"/>
              </w:numPr>
              <w:spacing w:line="240" w:lineRule="auto"/>
              <w:ind w:firstLine="420" w:firstLineChars="20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1.参选人拟派的项目总负责人具备网络安全等级保护高级测评师证书或网络安全架构师（高级）证书，有一项得2分，满分4分。</w:t>
            </w:r>
          </w:p>
          <w:p w14:paraId="3384C999">
            <w:pPr>
              <w:numPr>
                <w:ilvl w:val="255"/>
                <w:numId w:val="0"/>
              </w:numPr>
              <w:spacing w:line="240" w:lineRule="auto"/>
              <w:ind w:firstLine="420" w:firstLineChars="200"/>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2.参选人拟派的项目经理具有网络安全等级保护中级</w:t>
            </w:r>
            <w:r>
              <w:rPr>
                <w:rFonts w:hint="eastAsia" w:ascii="仿宋" w:hAnsi="仿宋" w:eastAsia="仿宋" w:cs="仿宋"/>
                <w:color w:val="auto"/>
                <w:sz w:val="21"/>
                <w:szCs w:val="21"/>
                <w:highlight w:val="none"/>
                <w:lang w:val="en-US" w:eastAsia="zh-CN"/>
              </w:rPr>
              <w:t>及以上</w:t>
            </w:r>
            <w:r>
              <w:rPr>
                <w:rFonts w:hint="eastAsia" w:ascii="仿宋" w:hAnsi="仿宋" w:eastAsia="仿宋" w:cs="仿宋"/>
                <w:color w:val="auto"/>
                <w:sz w:val="21"/>
                <w:szCs w:val="21"/>
                <w:highlight w:val="none"/>
              </w:rPr>
              <w:t>测评师证书或数据安全评估师认证证书（CCRC-DSA），有一项得1分，满分</w:t>
            </w:r>
            <w:r>
              <w:rPr>
                <w:rFonts w:ascii="仿宋" w:hAnsi="仿宋" w:eastAsia="仿宋" w:cs="仿宋"/>
                <w:color w:val="auto"/>
                <w:sz w:val="21"/>
                <w:szCs w:val="21"/>
                <w:highlight w:val="none"/>
              </w:rPr>
              <w:t>2</w:t>
            </w:r>
            <w:r>
              <w:rPr>
                <w:rFonts w:hint="eastAsia" w:ascii="仿宋" w:hAnsi="仿宋" w:eastAsia="仿宋" w:cs="仿宋"/>
                <w:color w:val="auto"/>
                <w:sz w:val="21"/>
                <w:szCs w:val="21"/>
                <w:highlight w:val="none"/>
              </w:rPr>
              <w:t>分。</w:t>
            </w:r>
          </w:p>
          <w:p w14:paraId="22CDC0A1">
            <w:pPr>
              <w:numPr>
                <w:ilvl w:val="255"/>
                <w:numId w:val="0"/>
              </w:numPr>
              <w:spacing w:line="240" w:lineRule="auto"/>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3.参选人拟派的渗透测试负责人具备注册渗透测试专家（CISP-PTS）证书或信息网络安全专业人员认证-应急响应保障员证书，有</w:t>
            </w: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项得</w:t>
            </w: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分，满分</w:t>
            </w:r>
            <w:r>
              <w:rPr>
                <w:rFonts w:ascii="仿宋" w:hAnsi="仿宋" w:eastAsia="仿宋" w:cs="仿宋"/>
                <w:color w:val="auto"/>
                <w:sz w:val="21"/>
                <w:szCs w:val="21"/>
                <w:highlight w:val="none"/>
              </w:rPr>
              <w:t>2</w:t>
            </w:r>
            <w:r>
              <w:rPr>
                <w:rFonts w:hint="eastAsia" w:ascii="仿宋" w:hAnsi="仿宋" w:eastAsia="仿宋" w:cs="仿宋"/>
                <w:color w:val="auto"/>
                <w:sz w:val="21"/>
                <w:szCs w:val="21"/>
                <w:highlight w:val="none"/>
              </w:rPr>
              <w:t>分。</w:t>
            </w:r>
          </w:p>
          <w:p w14:paraId="02812217">
            <w:pPr>
              <w:numPr>
                <w:ilvl w:val="255"/>
                <w:numId w:val="0"/>
              </w:numPr>
              <w:spacing w:line="240" w:lineRule="auto"/>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4.参选人拟派的测评人员具备注册应急响应工程师（CISP-IRE）证书或网络安全等级保护领导小组办公室颁发的网络安全等级保护专家组专家证书，每有1人得1分，满分2分</w:t>
            </w:r>
          </w:p>
          <w:p w14:paraId="31795A45">
            <w:pPr>
              <w:numPr>
                <w:ilvl w:val="255"/>
                <w:numId w:val="0"/>
              </w:numPr>
              <w:spacing w:line="240" w:lineRule="auto"/>
              <w:jc w:val="left"/>
              <w:rPr>
                <w:rFonts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备注：</w:t>
            </w:r>
            <w:r>
              <w:rPr>
                <w:rFonts w:hint="eastAsia" w:ascii="仿宋" w:hAnsi="仿宋" w:eastAsia="仿宋" w:cs="仿宋"/>
                <w:color w:val="auto"/>
                <w:sz w:val="21"/>
                <w:szCs w:val="21"/>
                <w:highlight w:val="none"/>
              </w:rPr>
              <w:t>以上人员提供证书复印件加盖参选人公章。</w:t>
            </w:r>
          </w:p>
        </w:tc>
        <w:tc>
          <w:tcPr>
            <w:tcW w:w="2105" w:type="dxa"/>
            <w:vAlign w:val="center"/>
          </w:tcPr>
          <w:p w14:paraId="38D59468">
            <w:pPr>
              <w:numPr>
                <w:ilvl w:val="255"/>
                <w:numId w:val="0"/>
              </w:numPr>
              <w:spacing w:line="240" w:lineRule="auto"/>
              <w:rPr>
                <w:rFonts w:ascii="仿宋" w:hAnsi="仿宋" w:eastAsia="仿宋" w:cs="仿宋"/>
                <w:color w:val="auto"/>
                <w:sz w:val="21"/>
                <w:szCs w:val="21"/>
                <w:highlight w:val="none"/>
              </w:rPr>
            </w:pPr>
          </w:p>
          <w:p w14:paraId="6A7DE053">
            <w:pPr>
              <w:spacing w:line="240" w:lineRule="auto"/>
              <w:ind w:firstLine="0" w:firstLineChars="0"/>
              <w:jc w:val="left"/>
              <w:rPr>
                <w:rFonts w:ascii="仿宋" w:hAnsi="仿宋" w:eastAsia="仿宋" w:cs="仿宋"/>
                <w:color w:val="auto"/>
                <w:sz w:val="21"/>
                <w:szCs w:val="21"/>
                <w:highlight w:val="none"/>
              </w:rPr>
            </w:pPr>
          </w:p>
        </w:tc>
      </w:tr>
    </w:tbl>
    <w:p w14:paraId="55679A10">
      <w:pPr>
        <w:spacing w:line="400" w:lineRule="exact"/>
        <w:ind w:firstLine="0" w:firstLineChars="0"/>
        <w:jc w:val="left"/>
        <w:rPr>
          <w:rFonts w:ascii="Times New Roman" w:hAnsi="Times New Roman" w:eastAsia="仿宋"/>
          <w:bCs/>
          <w:color w:val="auto"/>
          <w:sz w:val="24"/>
          <w:highlight w:val="none"/>
        </w:rPr>
      </w:pPr>
      <w:r>
        <w:rPr>
          <w:rFonts w:ascii="Times New Roman" w:hAnsi="Times New Roman" w:eastAsia="仿宋"/>
          <w:bCs/>
          <w:color w:val="auto"/>
          <w:sz w:val="24"/>
          <w:highlight w:val="none"/>
        </w:rPr>
        <w:t>说明：</w:t>
      </w:r>
      <w:r>
        <w:rPr>
          <w:rFonts w:hint="eastAsia" w:ascii="Times New Roman" w:hAnsi="Times New Roman" w:eastAsia="仿宋"/>
          <w:bCs/>
          <w:color w:val="auto"/>
          <w:sz w:val="24"/>
          <w:highlight w:val="none"/>
        </w:rPr>
        <w:t>比选小组</w:t>
      </w:r>
      <w:r>
        <w:rPr>
          <w:rFonts w:ascii="Times New Roman" w:hAnsi="Times New Roman" w:eastAsia="仿宋"/>
          <w:bCs/>
          <w:color w:val="auto"/>
          <w:sz w:val="24"/>
          <w:highlight w:val="none"/>
        </w:rPr>
        <w:t>认为参选人的报价明显低于其他通过符合性审查</w:t>
      </w:r>
      <w:r>
        <w:rPr>
          <w:rFonts w:hint="eastAsia" w:ascii="Times New Roman" w:hAnsi="Times New Roman" w:eastAsia="仿宋"/>
          <w:bCs/>
          <w:color w:val="auto"/>
          <w:sz w:val="24"/>
          <w:highlight w:val="none"/>
        </w:rPr>
        <w:t>参选</w:t>
      </w:r>
      <w:r>
        <w:rPr>
          <w:rFonts w:ascii="Times New Roman" w:hAnsi="Times New Roman" w:eastAsia="仿宋"/>
          <w:bCs/>
          <w:color w:val="auto"/>
          <w:sz w:val="24"/>
          <w:highlight w:val="none"/>
        </w:rPr>
        <w:t>人的报价，有可能影响产品质量或者不能诚信履约的，应当要求其在比选现场合理的时间内提供书面说明，必要时提交相关证明材料；参选人不能证明其报价合理性的，</w:t>
      </w:r>
      <w:r>
        <w:rPr>
          <w:rFonts w:hint="eastAsia" w:ascii="Times New Roman" w:hAnsi="Times New Roman" w:eastAsia="仿宋"/>
          <w:bCs/>
          <w:color w:val="auto"/>
          <w:sz w:val="24"/>
          <w:highlight w:val="none"/>
        </w:rPr>
        <w:t>比选小组</w:t>
      </w:r>
      <w:r>
        <w:rPr>
          <w:rFonts w:ascii="Times New Roman" w:hAnsi="Times New Roman" w:eastAsia="仿宋"/>
          <w:bCs/>
          <w:color w:val="auto"/>
          <w:sz w:val="24"/>
          <w:highlight w:val="none"/>
        </w:rPr>
        <w:t>应当将其作为无效比选处理。</w:t>
      </w:r>
    </w:p>
    <w:p w14:paraId="6E1BF46C">
      <w:pPr>
        <w:numPr>
          <w:ilvl w:val="255"/>
          <w:numId w:val="0"/>
        </w:numPr>
        <w:adjustRightInd w:val="0"/>
        <w:snapToGrid w:val="0"/>
        <w:ind w:firstLine="560"/>
        <w:jc w:val="left"/>
        <w:rPr>
          <w:rFonts w:ascii="Times New Roman" w:hAnsi="Times New Roman" w:eastAsia="方正黑体_GBK"/>
          <w:color w:val="auto"/>
          <w:szCs w:val="20"/>
          <w:highlight w:val="none"/>
        </w:rPr>
      </w:pPr>
      <w:bookmarkStart w:id="101" w:name="_Toc26660"/>
      <w:bookmarkStart w:id="102" w:name="_Toc7618"/>
      <w:bookmarkStart w:id="103" w:name="_Toc105081925"/>
      <w:bookmarkStart w:id="104" w:name="_Toc9870"/>
      <w:bookmarkStart w:id="105" w:name="_Toc27781"/>
      <w:r>
        <w:rPr>
          <w:rFonts w:hint="eastAsia" w:ascii="Times New Roman" w:hAnsi="Times New Roman" w:eastAsia="方正黑体_GBK"/>
          <w:color w:val="auto"/>
          <w:szCs w:val="20"/>
          <w:highlight w:val="none"/>
        </w:rPr>
        <w:t>四、无效响应</w:t>
      </w:r>
    </w:p>
    <w:p w14:paraId="417CBD1C">
      <w:pPr>
        <w:ind w:firstLine="560"/>
        <w:rPr>
          <w:rFonts w:ascii="Times New Roman" w:hAnsi="Times New Roman" w:eastAsia="仿宋"/>
          <w:color w:val="auto"/>
          <w:highlight w:val="none"/>
        </w:rPr>
      </w:pPr>
      <w:r>
        <w:rPr>
          <w:rFonts w:hint="eastAsia" w:ascii="Times New Roman" w:hAnsi="Times New Roman" w:eastAsia="仿宋"/>
          <w:color w:val="auto"/>
          <w:highlight w:val="none"/>
        </w:rPr>
        <w:t>参选人</w:t>
      </w:r>
      <w:r>
        <w:rPr>
          <w:rFonts w:ascii="Times New Roman" w:hAnsi="Times New Roman" w:eastAsia="仿宋"/>
          <w:color w:val="auto"/>
          <w:highlight w:val="none"/>
        </w:rPr>
        <w:t>发生以下条款情况之一者，视为无效响应：</w:t>
      </w:r>
    </w:p>
    <w:p w14:paraId="696FA7F9">
      <w:pPr>
        <w:ind w:firstLine="560"/>
        <w:rPr>
          <w:rFonts w:ascii="Times New Roman" w:hAnsi="Times New Roman" w:eastAsia="仿宋"/>
          <w:color w:val="auto"/>
          <w:highlight w:val="none"/>
        </w:rPr>
      </w:pPr>
      <w:r>
        <w:rPr>
          <w:rFonts w:ascii="Times New Roman" w:hAnsi="Times New Roman" w:eastAsia="仿宋"/>
          <w:color w:val="auto"/>
          <w:highlight w:val="none"/>
        </w:rPr>
        <w:t>（一）</w:t>
      </w:r>
      <w:r>
        <w:rPr>
          <w:rFonts w:hint="eastAsia" w:ascii="Times New Roman" w:hAnsi="Times New Roman" w:eastAsia="仿宋"/>
          <w:color w:val="auto"/>
          <w:highlight w:val="none"/>
        </w:rPr>
        <w:t>参选人</w:t>
      </w:r>
      <w:r>
        <w:rPr>
          <w:rFonts w:ascii="Times New Roman" w:hAnsi="Times New Roman" w:eastAsia="仿宋"/>
          <w:color w:val="auto"/>
          <w:highlight w:val="none"/>
        </w:rPr>
        <w:t>不符合规定的基本资格条件或特定资格条件的；</w:t>
      </w:r>
    </w:p>
    <w:p w14:paraId="7B8BDC43">
      <w:pPr>
        <w:ind w:firstLine="560"/>
        <w:rPr>
          <w:rFonts w:ascii="Times New Roman" w:hAnsi="Times New Roman" w:eastAsia="仿宋"/>
          <w:color w:val="auto"/>
          <w:highlight w:val="none"/>
        </w:rPr>
      </w:pPr>
      <w:r>
        <w:rPr>
          <w:rFonts w:ascii="Times New Roman" w:hAnsi="Times New Roman" w:eastAsia="仿宋"/>
          <w:color w:val="auto"/>
          <w:highlight w:val="none"/>
        </w:rPr>
        <w:t>（二）</w:t>
      </w:r>
      <w:r>
        <w:rPr>
          <w:rFonts w:hint="eastAsia" w:ascii="Times New Roman" w:hAnsi="Times New Roman" w:eastAsia="仿宋"/>
          <w:color w:val="auto"/>
          <w:highlight w:val="none"/>
        </w:rPr>
        <w:t>参选人</w:t>
      </w:r>
      <w:r>
        <w:rPr>
          <w:rFonts w:ascii="Times New Roman" w:hAnsi="Times New Roman" w:eastAsia="仿宋"/>
          <w:color w:val="auto"/>
          <w:highlight w:val="none"/>
        </w:rPr>
        <w:t>的法定代表人或其授权代表未参加比选；</w:t>
      </w:r>
    </w:p>
    <w:p w14:paraId="3F8DEA41">
      <w:pPr>
        <w:ind w:firstLine="560"/>
        <w:rPr>
          <w:rFonts w:ascii="Times New Roman" w:hAnsi="Times New Roman" w:eastAsia="仿宋"/>
          <w:color w:val="auto"/>
          <w:highlight w:val="none"/>
        </w:rPr>
      </w:pPr>
      <w:r>
        <w:rPr>
          <w:rFonts w:ascii="Times New Roman" w:hAnsi="Times New Roman" w:eastAsia="仿宋"/>
          <w:color w:val="auto"/>
          <w:highlight w:val="none"/>
        </w:rPr>
        <w:t>（三）</w:t>
      </w:r>
      <w:r>
        <w:rPr>
          <w:rFonts w:hint="eastAsia" w:ascii="Times New Roman" w:hAnsi="Times New Roman" w:eastAsia="仿宋"/>
          <w:color w:val="auto"/>
          <w:highlight w:val="none"/>
        </w:rPr>
        <w:t>参选人</w:t>
      </w:r>
      <w:r>
        <w:rPr>
          <w:rFonts w:ascii="Times New Roman" w:hAnsi="Times New Roman" w:eastAsia="仿宋"/>
          <w:color w:val="auto"/>
          <w:highlight w:val="none"/>
        </w:rPr>
        <w:t>所提交的参选文件不按第七篇“参选文件编制要求”规定签字、盖章；</w:t>
      </w:r>
    </w:p>
    <w:p w14:paraId="42609974">
      <w:pPr>
        <w:ind w:firstLine="560"/>
        <w:rPr>
          <w:rFonts w:ascii="Times New Roman" w:hAnsi="Times New Roman" w:eastAsia="仿宋"/>
          <w:color w:val="auto"/>
          <w:highlight w:val="none"/>
        </w:rPr>
      </w:pPr>
      <w:r>
        <w:rPr>
          <w:rFonts w:ascii="Times New Roman" w:hAnsi="Times New Roman" w:eastAsia="仿宋"/>
          <w:color w:val="auto"/>
          <w:highlight w:val="none"/>
        </w:rPr>
        <w:t>（四）</w:t>
      </w:r>
      <w:r>
        <w:rPr>
          <w:rFonts w:hint="eastAsia" w:ascii="Times New Roman" w:hAnsi="Times New Roman" w:eastAsia="仿宋"/>
          <w:color w:val="auto"/>
          <w:highlight w:val="none"/>
        </w:rPr>
        <w:t>参选人</w:t>
      </w:r>
      <w:r>
        <w:rPr>
          <w:rFonts w:ascii="Times New Roman" w:hAnsi="Times New Roman" w:eastAsia="仿宋"/>
          <w:color w:val="auto"/>
          <w:highlight w:val="none"/>
        </w:rPr>
        <w:t>的报价超过采购限价的；</w:t>
      </w:r>
    </w:p>
    <w:p w14:paraId="0EEBC8D1">
      <w:pPr>
        <w:ind w:firstLine="560"/>
        <w:rPr>
          <w:rFonts w:ascii="Times New Roman" w:hAnsi="Times New Roman" w:eastAsia="仿宋"/>
          <w:color w:val="auto"/>
          <w:highlight w:val="none"/>
        </w:rPr>
      </w:pPr>
      <w:r>
        <w:rPr>
          <w:rFonts w:ascii="Times New Roman" w:hAnsi="Times New Roman" w:eastAsia="仿宋"/>
          <w:color w:val="auto"/>
          <w:highlight w:val="none"/>
        </w:rPr>
        <w:t>（五）法定代表人为同一个人的两个及两个以上法人，母公司、全资子公司及其控股公司，在同一分包采购中同时参与比选；</w:t>
      </w:r>
    </w:p>
    <w:p w14:paraId="0683ACF5">
      <w:pPr>
        <w:ind w:firstLine="560"/>
        <w:rPr>
          <w:rFonts w:ascii="Times New Roman" w:hAnsi="Times New Roman" w:eastAsia="仿宋"/>
          <w:color w:val="auto"/>
          <w:highlight w:val="none"/>
        </w:rPr>
      </w:pPr>
      <w:r>
        <w:rPr>
          <w:rFonts w:ascii="Times New Roman" w:hAnsi="Times New Roman" w:eastAsia="仿宋"/>
          <w:color w:val="auto"/>
          <w:highlight w:val="none"/>
        </w:rPr>
        <w:t>（六）单位负责人为同一人或者存在直接控股、管理关系的不同</w:t>
      </w:r>
      <w:r>
        <w:rPr>
          <w:rFonts w:hint="eastAsia" w:ascii="Times New Roman" w:hAnsi="Times New Roman" w:eastAsia="仿宋"/>
          <w:color w:val="auto"/>
          <w:highlight w:val="none"/>
        </w:rPr>
        <w:t>参选人</w:t>
      </w:r>
      <w:r>
        <w:rPr>
          <w:rFonts w:ascii="Times New Roman" w:hAnsi="Times New Roman" w:eastAsia="仿宋"/>
          <w:color w:val="auto"/>
          <w:highlight w:val="none"/>
        </w:rPr>
        <w:t>，参加同一合同项下的政府采购活动的；</w:t>
      </w:r>
    </w:p>
    <w:p w14:paraId="048EDADF">
      <w:pPr>
        <w:ind w:firstLine="560"/>
        <w:rPr>
          <w:rFonts w:ascii="Times New Roman" w:hAnsi="Times New Roman" w:eastAsia="仿宋"/>
          <w:color w:val="auto"/>
          <w:highlight w:val="none"/>
        </w:rPr>
      </w:pPr>
      <w:r>
        <w:rPr>
          <w:rFonts w:ascii="Times New Roman" w:hAnsi="Times New Roman" w:eastAsia="仿宋"/>
          <w:color w:val="auto"/>
          <w:highlight w:val="none"/>
        </w:rPr>
        <w:t>有下列情形之一的，视为</w:t>
      </w:r>
      <w:r>
        <w:rPr>
          <w:rFonts w:hint="eastAsia" w:ascii="Times New Roman" w:hAnsi="Times New Roman" w:eastAsia="仿宋"/>
          <w:color w:val="auto"/>
          <w:highlight w:val="none"/>
        </w:rPr>
        <w:t>参选人</w:t>
      </w:r>
      <w:r>
        <w:rPr>
          <w:rFonts w:ascii="Times New Roman" w:hAnsi="Times New Roman" w:eastAsia="仿宋"/>
          <w:color w:val="auto"/>
          <w:highlight w:val="none"/>
        </w:rPr>
        <w:t>相互串通比选。</w:t>
      </w:r>
    </w:p>
    <w:p w14:paraId="776F4266">
      <w:pPr>
        <w:ind w:firstLine="560"/>
        <w:rPr>
          <w:rFonts w:ascii="Times New Roman" w:hAnsi="Times New Roman" w:eastAsia="仿宋"/>
          <w:color w:val="auto"/>
          <w:highlight w:val="none"/>
        </w:rPr>
      </w:pPr>
      <w:r>
        <w:rPr>
          <w:rFonts w:ascii="Times New Roman" w:hAnsi="Times New Roman" w:eastAsia="仿宋"/>
          <w:color w:val="auto"/>
          <w:highlight w:val="none"/>
        </w:rPr>
        <w:t>（一）不同</w:t>
      </w:r>
      <w:r>
        <w:rPr>
          <w:rFonts w:hint="eastAsia" w:ascii="Times New Roman" w:hAnsi="Times New Roman" w:eastAsia="仿宋"/>
          <w:color w:val="auto"/>
          <w:highlight w:val="none"/>
        </w:rPr>
        <w:t>参选人</w:t>
      </w:r>
      <w:r>
        <w:rPr>
          <w:rFonts w:ascii="Times New Roman" w:hAnsi="Times New Roman" w:eastAsia="仿宋"/>
          <w:color w:val="auto"/>
          <w:highlight w:val="none"/>
        </w:rPr>
        <w:t>编制的参选文件存在两处以上错漏一致的；</w:t>
      </w:r>
    </w:p>
    <w:p w14:paraId="02533566">
      <w:pPr>
        <w:ind w:firstLine="560"/>
        <w:rPr>
          <w:rFonts w:ascii="Times New Roman" w:hAnsi="Times New Roman" w:eastAsia="仿宋"/>
          <w:color w:val="auto"/>
          <w:highlight w:val="none"/>
        </w:rPr>
      </w:pPr>
      <w:r>
        <w:rPr>
          <w:rFonts w:ascii="Times New Roman" w:hAnsi="Times New Roman" w:eastAsia="仿宋"/>
          <w:color w:val="auto"/>
          <w:highlight w:val="none"/>
        </w:rPr>
        <w:t>（二）不同</w:t>
      </w:r>
      <w:r>
        <w:rPr>
          <w:rFonts w:hint="eastAsia" w:ascii="Times New Roman" w:hAnsi="Times New Roman" w:eastAsia="仿宋"/>
          <w:color w:val="auto"/>
          <w:highlight w:val="none"/>
        </w:rPr>
        <w:t>参选人</w:t>
      </w:r>
      <w:r>
        <w:rPr>
          <w:rFonts w:ascii="Times New Roman" w:hAnsi="Times New Roman" w:eastAsia="仿宋"/>
          <w:color w:val="auto"/>
          <w:highlight w:val="none"/>
        </w:rPr>
        <w:t>的参选文件相互混装的；</w:t>
      </w:r>
    </w:p>
    <w:p w14:paraId="4D3444B9">
      <w:pPr>
        <w:ind w:firstLine="560"/>
        <w:rPr>
          <w:rFonts w:ascii="Times New Roman" w:hAnsi="Times New Roman" w:eastAsia="仿宋"/>
          <w:color w:val="auto"/>
          <w:highlight w:val="none"/>
        </w:rPr>
      </w:pPr>
      <w:r>
        <w:rPr>
          <w:rFonts w:ascii="Times New Roman" w:hAnsi="Times New Roman" w:eastAsia="仿宋"/>
          <w:color w:val="auto"/>
          <w:highlight w:val="none"/>
        </w:rPr>
        <w:t>（三）参加比选活动的人员为同一采购其他</w:t>
      </w:r>
      <w:r>
        <w:rPr>
          <w:rFonts w:hint="eastAsia" w:ascii="Times New Roman" w:hAnsi="Times New Roman" w:eastAsia="仿宋"/>
          <w:color w:val="auto"/>
          <w:highlight w:val="none"/>
        </w:rPr>
        <w:t>参选人</w:t>
      </w:r>
      <w:r>
        <w:rPr>
          <w:rFonts w:ascii="Times New Roman" w:hAnsi="Times New Roman" w:eastAsia="仿宋"/>
          <w:color w:val="auto"/>
          <w:highlight w:val="none"/>
        </w:rPr>
        <w:t>在职人员的</w:t>
      </w:r>
      <w:r>
        <w:rPr>
          <w:rFonts w:hint="eastAsia" w:ascii="Times New Roman" w:hAnsi="Times New Roman" w:eastAsia="仿宋"/>
          <w:color w:val="auto"/>
          <w:highlight w:val="none"/>
        </w:rPr>
        <w:t>；</w:t>
      </w:r>
    </w:p>
    <w:p w14:paraId="693D4FAA">
      <w:pPr>
        <w:ind w:firstLine="560"/>
        <w:rPr>
          <w:rFonts w:ascii="Times New Roman" w:hAnsi="Times New Roman" w:eastAsia="仿宋"/>
          <w:color w:val="auto"/>
          <w:highlight w:val="none"/>
        </w:rPr>
      </w:pPr>
      <w:r>
        <w:rPr>
          <w:rFonts w:ascii="Times New Roman" w:hAnsi="Times New Roman" w:eastAsia="仿宋"/>
          <w:color w:val="auto"/>
          <w:highlight w:val="none"/>
        </w:rPr>
        <w:t>（四）不同</w:t>
      </w:r>
      <w:r>
        <w:rPr>
          <w:rFonts w:hint="eastAsia" w:ascii="Times New Roman" w:hAnsi="Times New Roman" w:eastAsia="仿宋"/>
          <w:color w:val="auto"/>
          <w:highlight w:val="none"/>
        </w:rPr>
        <w:t>参选人</w:t>
      </w:r>
      <w:r>
        <w:rPr>
          <w:rFonts w:ascii="Times New Roman" w:hAnsi="Times New Roman" w:eastAsia="仿宋"/>
          <w:color w:val="auto"/>
          <w:highlight w:val="none"/>
        </w:rPr>
        <w:t>委托同一人办理比选事宜的或不同</w:t>
      </w:r>
      <w:r>
        <w:rPr>
          <w:rFonts w:hint="eastAsia" w:ascii="Times New Roman" w:hAnsi="Times New Roman" w:eastAsia="仿宋"/>
          <w:color w:val="auto"/>
          <w:highlight w:val="none"/>
        </w:rPr>
        <w:t>参选人</w:t>
      </w:r>
      <w:r>
        <w:rPr>
          <w:rFonts w:ascii="Times New Roman" w:hAnsi="Times New Roman" w:eastAsia="仿宋"/>
          <w:color w:val="auto"/>
          <w:highlight w:val="none"/>
        </w:rPr>
        <w:t>与同一</w:t>
      </w:r>
      <w:r>
        <w:rPr>
          <w:rFonts w:hint="eastAsia" w:ascii="Times New Roman" w:hAnsi="Times New Roman" w:eastAsia="仿宋"/>
          <w:color w:val="auto"/>
          <w:highlight w:val="none"/>
        </w:rPr>
        <w:t>参选人</w:t>
      </w:r>
      <w:r>
        <w:rPr>
          <w:rFonts w:ascii="Times New Roman" w:hAnsi="Times New Roman" w:eastAsia="仿宋"/>
          <w:color w:val="auto"/>
          <w:highlight w:val="none"/>
        </w:rPr>
        <w:t>联合比选的；</w:t>
      </w:r>
    </w:p>
    <w:p w14:paraId="70261129">
      <w:pPr>
        <w:ind w:firstLine="560"/>
        <w:rPr>
          <w:rFonts w:ascii="Times New Roman" w:hAnsi="Times New Roman" w:eastAsia="仿宋"/>
          <w:color w:val="auto"/>
          <w:highlight w:val="none"/>
        </w:rPr>
      </w:pPr>
      <w:r>
        <w:rPr>
          <w:rFonts w:ascii="Times New Roman" w:hAnsi="Times New Roman" w:eastAsia="仿宋"/>
          <w:color w:val="auto"/>
          <w:highlight w:val="none"/>
        </w:rPr>
        <w:t>（五）不同</w:t>
      </w:r>
      <w:r>
        <w:rPr>
          <w:rFonts w:hint="eastAsia" w:ascii="Times New Roman" w:hAnsi="Times New Roman" w:eastAsia="仿宋"/>
          <w:color w:val="auto"/>
          <w:highlight w:val="none"/>
        </w:rPr>
        <w:t>参选人</w:t>
      </w:r>
      <w:r>
        <w:rPr>
          <w:rFonts w:ascii="Times New Roman" w:hAnsi="Times New Roman" w:eastAsia="仿宋"/>
          <w:color w:val="auto"/>
          <w:highlight w:val="none"/>
        </w:rPr>
        <w:t>的参选文件载明的项目管理班子成员出现同一人的</w:t>
      </w:r>
      <w:r>
        <w:rPr>
          <w:rFonts w:hint="eastAsia" w:ascii="Times New Roman" w:hAnsi="Times New Roman" w:eastAsia="仿宋"/>
          <w:color w:val="auto"/>
          <w:highlight w:val="none"/>
        </w:rPr>
        <w:t>；</w:t>
      </w:r>
    </w:p>
    <w:p w14:paraId="7F6D3B04">
      <w:pPr>
        <w:ind w:firstLine="560"/>
        <w:rPr>
          <w:rFonts w:ascii="Times New Roman" w:hAnsi="Times New Roman" w:eastAsia="仿宋"/>
          <w:color w:val="auto"/>
          <w:highlight w:val="none"/>
        </w:rPr>
      </w:pPr>
      <w:r>
        <w:rPr>
          <w:rFonts w:ascii="Times New Roman" w:hAnsi="Times New Roman" w:eastAsia="仿宋"/>
          <w:color w:val="auto"/>
          <w:highlight w:val="none"/>
        </w:rPr>
        <w:t>（六）法律法规、规章规定的其他视为相互串通比选的行为。</w:t>
      </w:r>
    </w:p>
    <w:p w14:paraId="1C7E02AA">
      <w:pPr>
        <w:numPr>
          <w:ilvl w:val="255"/>
          <w:numId w:val="0"/>
        </w:numPr>
        <w:adjustRightInd w:val="0"/>
        <w:snapToGrid w:val="0"/>
        <w:ind w:firstLine="560"/>
        <w:jc w:val="left"/>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五、采购终止</w:t>
      </w:r>
    </w:p>
    <w:p w14:paraId="2938F120">
      <w:pPr>
        <w:ind w:firstLine="560"/>
        <w:rPr>
          <w:rFonts w:ascii="Times New Roman" w:hAnsi="Times New Roman" w:eastAsia="仿宋"/>
          <w:color w:val="auto"/>
          <w:highlight w:val="none"/>
        </w:rPr>
      </w:pPr>
      <w:r>
        <w:rPr>
          <w:rFonts w:ascii="Times New Roman" w:hAnsi="Times New Roman" w:eastAsia="仿宋"/>
          <w:color w:val="auto"/>
          <w:highlight w:val="none"/>
        </w:rPr>
        <w:t>出现以下情况之一的，应予终止采购：</w:t>
      </w:r>
    </w:p>
    <w:p w14:paraId="08872967">
      <w:pPr>
        <w:ind w:firstLine="560"/>
        <w:rPr>
          <w:rFonts w:ascii="Times New Roman" w:hAnsi="Times New Roman" w:eastAsia="仿宋"/>
          <w:color w:val="auto"/>
          <w:highlight w:val="none"/>
        </w:rPr>
      </w:pPr>
      <w:r>
        <w:rPr>
          <w:rFonts w:ascii="Times New Roman" w:hAnsi="Times New Roman" w:eastAsia="仿宋"/>
          <w:color w:val="auto"/>
          <w:highlight w:val="none"/>
        </w:rPr>
        <w:t>（一）</w:t>
      </w:r>
      <w:r>
        <w:rPr>
          <w:rFonts w:hint="eastAsia" w:ascii="Times New Roman" w:hAnsi="Times New Roman" w:eastAsia="仿宋"/>
          <w:color w:val="auto"/>
          <w:highlight w:val="none"/>
        </w:rPr>
        <w:t>参选人</w:t>
      </w:r>
      <w:r>
        <w:rPr>
          <w:rFonts w:ascii="Times New Roman" w:hAnsi="Times New Roman" w:eastAsia="仿宋"/>
          <w:color w:val="auto"/>
          <w:highlight w:val="none"/>
        </w:rPr>
        <w:t>的报价均超过了最高限价，采购人不能支付的；</w:t>
      </w:r>
    </w:p>
    <w:p w14:paraId="444C008D">
      <w:pPr>
        <w:ind w:firstLine="560"/>
        <w:rPr>
          <w:rFonts w:ascii="Times New Roman" w:hAnsi="Times New Roman" w:eastAsia="仿宋"/>
          <w:color w:val="auto"/>
          <w:highlight w:val="none"/>
        </w:rPr>
      </w:pPr>
      <w:r>
        <w:rPr>
          <w:rFonts w:ascii="Times New Roman" w:hAnsi="Times New Roman" w:eastAsia="仿宋"/>
          <w:color w:val="auto"/>
          <w:highlight w:val="none"/>
        </w:rPr>
        <w:t>（二）出现影响采购公正的违法、违规行为的；</w:t>
      </w:r>
    </w:p>
    <w:p w14:paraId="32BDFA8A">
      <w:pPr>
        <w:ind w:firstLine="560"/>
        <w:rPr>
          <w:rFonts w:ascii="Times New Roman" w:hAnsi="Times New Roman" w:eastAsia="仿宋"/>
          <w:color w:val="auto"/>
          <w:highlight w:val="none"/>
        </w:rPr>
      </w:pPr>
      <w:r>
        <w:rPr>
          <w:rFonts w:ascii="Times New Roman" w:hAnsi="Times New Roman" w:eastAsia="仿宋"/>
          <w:color w:val="auto"/>
          <w:highlight w:val="none"/>
        </w:rPr>
        <w:t>（三）因重大变故，采购任务取消的。</w:t>
      </w:r>
    </w:p>
    <w:p w14:paraId="3D414764">
      <w:pPr>
        <w:snapToGrid w:val="0"/>
        <w:ind w:firstLine="560"/>
        <w:rPr>
          <w:rFonts w:ascii="Times New Roman" w:hAnsi="Times New Roman" w:eastAsia="仿宋"/>
          <w:color w:val="auto"/>
          <w:highlight w:val="none"/>
        </w:rPr>
      </w:pPr>
      <w:r>
        <w:rPr>
          <w:rFonts w:ascii="Times New Roman" w:hAnsi="Times New Roman" w:eastAsia="仿宋"/>
          <w:color w:val="auto"/>
          <w:highlight w:val="none"/>
        </w:rPr>
        <w:t>终止后，除采购任务取消情形外，应当重新组织采购。</w:t>
      </w:r>
    </w:p>
    <w:bookmarkEnd w:id="101"/>
    <w:bookmarkEnd w:id="102"/>
    <w:bookmarkEnd w:id="103"/>
    <w:bookmarkEnd w:id="104"/>
    <w:bookmarkEnd w:id="105"/>
    <w:p w14:paraId="49EAE1E4">
      <w:pPr>
        <w:pStyle w:val="9"/>
        <w:ind w:firstLine="0" w:firstLineChars="0"/>
        <w:rPr>
          <w:rFonts w:ascii="Times New Roman" w:hAnsi="Times New Roman" w:eastAsia="仿宋"/>
          <w:color w:val="auto"/>
          <w:highlight w:val="none"/>
        </w:rPr>
      </w:pPr>
      <w:bookmarkStart w:id="106" w:name="_Toc20304"/>
    </w:p>
    <w:p w14:paraId="52E8BB73">
      <w:pPr>
        <w:pStyle w:val="9"/>
        <w:ind w:firstLine="280"/>
        <w:rPr>
          <w:rFonts w:ascii="Times New Roman" w:hAnsi="Times New Roman" w:eastAsia="仿宋"/>
          <w:color w:val="auto"/>
          <w:highlight w:val="none"/>
        </w:rPr>
      </w:pPr>
    </w:p>
    <w:p w14:paraId="456BF987">
      <w:pPr>
        <w:pStyle w:val="9"/>
        <w:ind w:firstLine="0" w:firstLineChars="0"/>
        <w:rPr>
          <w:rFonts w:ascii="Times New Roman" w:hAnsi="Times New Roman" w:eastAsia="仿宋"/>
          <w:color w:val="auto"/>
          <w:highlight w:val="none"/>
        </w:rPr>
      </w:pPr>
    </w:p>
    <w:p w14:paraId="5A508636">
      <w:pPr>
        <w:pStyle w:val="9"/>
        <w:ind w:firstLine="0" w:firstLineChars="0"/>
        <w:rPr>
          <w:rFonts w:ascii="Times New Roman" w:hAnsi="Times New Roman" w:eastAsia="仿宋"/>
          <w:color w:val="auto"/>
          <w:highlight w:val="none"/>
        </w:rPr>
      </w:pPr>
    </w:p>
    <w:p w14:paraId="5E399B1C">
      <w:pPr>
        <w:pStyle w:val="9"/>
        <w:ind w:firstLine="0" w:firstLineChars="0"/>
        <w:rPr>
          <w:rFonts w:ascii="Times New Roman" w:hAnsi="Times New Roman" w:eastAsia="仿宋"/>
          <w:color w:val="auto"/>
          <w:highlight w:val="none"/>
        </w:rPr>
      </w:pPr>
    </w:p>
    <w:p w14:paraId="630064AD">
      <w:pPr>
        <w:pStyle w:val="9"/>
        <w:ind w:firstLine="0" w:firstLineChars="0"/>
        <w:rPr>
          <w:rFonts w:ascii="Times New Roman" w:hAnsi="Times New Roman" w:eastAsia="仿宋"/>
          <w:color w:val="auto"/>
          <w:highlight w:val="none"/>
        </w:rPr>
      </w:pPr>
    </w:p>
    <w:p w14:paraId="21232315">
      <w:pPr>
        <w:pStyle w:val="9"/>
        <w:ind w:firstLine="0" w:firstLineChars="0"/>
        <w:rPr>
          <w:rFonts w:ascii="Times New Roman" w:hAnsi="Times New Roman" w:eastAsia="仿宋"/>
          <w:color w:val="auto"/>
          <w:highlight w:val="none"/>
        </w:rPr>
      </w:pPr>
    </w:p>
    <w:p w14:paraId="5C059520">
      <w:pPr>
        <w:ind w:firstLine="560"/>
        <w:rPr>
          <w:color w:val="auto"/>
          <w:highlight w:val="none"/>
        </w:rPr>
      </w:pPr>
      <w:bookmarkStart w:id="107" w:name="_Toc19626"/>
      <w:bookmarkStart w:id="108" w:name="_Toc24434"/>
      <w:bookmarkStart w:id="109" w:name="_Toc16428"/>
      <w:bookmarkStart w:id="110" w:name="_Toc10867"/>
      <w:bookmarkStart w:id="111" w:name="_Toc22128"/>
      <w:bookmarkStart w:id="112" w:name="_Toc105081913"/>
      <w:bookmarkStart w:id="113" w:name="_Toc194572019"/>
    </w:p>
    <w:p w14:paraId="5D36C4D0">
      <w:pPr>
        <w:ind w:left="560" w:firstLine="0" w:firstLineChars="0"/>
        <w:rPr>
          <w:color w:val="auto"/>
          <w:highlight w:val="none"/>
        </w:rPr>
      </w:pPr>
    </w:p>
    <w:p w14:paraId="1E017C77">
      <w:pPr>
        <w:pStyle w:val="15"/>
        <w:ind w:firstLine="480"/>
        <w:rPr>
          <w:color w:val="auto"/>
          <w:highlight w:val="none"/>
        </w:rPr>
      </w:pPr>
    </w:p>
    <w:p w14:paraId="019118E5">
      <w:pPr>
        <w:ind w:firstLine="560"/>
        <w:rPr>
          <w:color w:val="auto"/>
          <w:highlight w:val="none"/>
        </w:rPr>
      </w:pPr>
    </w:p>
    <w:p w14:paraId="0001C94A">
      <w:pPr>
        <w:pStyle w:val="15"/>
        <w:ind w:firstLine="480"/>
        <w:rPr>
          <w:color w:val="auto"/>
          <w:highlight w:val="none"/>
        </w:rPr>
      </w:pPr>
    </w:p>
    <w:p w14:paraId="1E81A0EA">
      <w:pPr>
        <w:pStyle w:val="15"/>
        <w:ind w:firstLine="0" w:firstLineChars="0"/>
        <w:rPr>
          <w:color w:val="auto"/>
          <w:highlight w:val="none"/>
        </w:rPr>
      </w:pPr>
    </w:p>
    <w:bookmarkEnd w:id="107"/>
    <w:bookmarkEnd w:id="108"/>
    <w:bookmarkEnd w:id="109"/>
    <w:bookmarkEnd w:id="110"/>
    <w:bookmarkEnd w:id="111"/>
    <w:bookmarkEnd w:id="112"/>
    <w:bookmarkEnd w:id="113"/>
    <w:p w14:paraId="50B0C4EB">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114" w:name="_Toc194572020"/>
      <w:bookmarkStart w:id="115" w:name="_Toc25452"/>
      <w:bookmarkStart w:id="116" w:name="_Toc21476"/>
      <w:bookmarkStart w:id="117" w:name="_Toc105081927"/>
      <w:bookmarkStart w:id="118" w:name="_Toc1803"/>
      <w:bookmarkStart w:id="119" w:name="_Toc538"/>
      <w:bookmarkStart w:id="120" w:name="_Toc27938"/>
      <w:bookmarkStart w:id="121" w:name="_Hlk218675828"/>
      <w:r>
        <w:rPr>
          <w:rFonts w:ascii="Times New Roman" w:hAnsi="Times New Roman" w:eastAsia="方正小标宋_GBK" w:cs="Times New Roman"/>
          <w:b/>
          <w:bCs/>
          <w:color w:val="auto"/>
          <w:kern w:val="44"/>
          <w:sz w:val="32"/>
          <w:szCs w:val="44"/>
          <w:highlight w:val="none"/>
        </w:rPr>
        <w:t>第五篇  比选须知</w:t>
      </w:r>
    </w:p>
    <w:p w14:paraId="287F3E18">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122" w:name="_Toc13197"/>
      <w:bookmarkStart w:id="123" w:name="_Toc10325"/>
      <w:bookmarkStart w:id="124" w:name="_Toc422"/>
      <w:bookmarkStart w:id="125" w:name="_Toc28258"/>
      <w:bookmarkStart w:id="126" w:name="_Toc11996"/>
      <w:bookmarkStart w:id="127" w:name="_Toc15432"/>
      <w:bookmarkStart w:id="128" w:name="_Toc12955"/>
      <w:bookmarkStart w:id="129" w:name="_Toc3330"/>
      <w:bookmarkStart w:id="130" w:name="_Toc20020"/>
      <w:bookmarkStart w:id="131" w:name="_Toc75793524"/>
      <w:bookmarkStart w:id="132" w:name="_Toc3327"/>
      <w:bookmarkStart w:id="133" w:name="_Toc10657"/>
      <w:bookmarkStart w:id="134" w:name="_Toc2439"/>
      <w:bookmarkStart w:id="135" w:name="_Toc27405"/>
      <w:bookmarkStart w:id="136" w:name="_Toc18929"/>
      <w:bookmarkStart w:id="137" w:name="_Toc1327"/>
      <w:r>
        <w:rPr>
          <w:rFonts w:ascii="Times New Roman" w:hAnsi="Times New Roman" w:eastAsia="方正黑体_GBK" w:cs="Times New Roman"/>
          <w:color w:val="auto"/>
          <w:sz w:val="28"/>
          <w:szCs w:val="20"/>
          <w:highlight w:val="none"/>
        </w:rPr>
        <w:t>一、</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hint="eastAsia" w:ascii="Times New Roman" w:hAnsi="Times New Roman" w:eastAsia="方正黑体_GBK" w:cs="Times New Roman"/>
          <w:color w:val="auto"/>
          <w:sz w:val="28"/>
          <w:szCs w:val="20"/>
          <w:highlight w:val="none"/>
        </w:rPr>
        <w:t>参选人</w:t>
      </w:r>
    </w:p>
    <w:p w14:paraId="347DE693">
      <w:pPr>
        <w:adjustRightInd w:val="0"/>
        <w:snapToGrid w:val="0"/>
        <w:ind w:firstLine="560"/>
        <w:rPr>
          <w:color w:val="auto"/>
          <w:szCs w:val="28"/>
          <w:highlight w:val="none"/>
        </w:rPr>
      </w:pPr>
      <w:r>
        <w:rPr>
          <w:rFonts w:hint="eastAsia"/>
          <w:color w:val="auto"/>
          <w:szCs w:val="28"/>
          <w:highlight w:val="none"/>
        </w:rPr>
        <w:t>（一）参选人</w:t>
      </w:r>
    </w:p>
    <w:p w14:paraId="5D0376A8">
      <w:pPr>
        <w:adjustRightInd w:val="0"/>
        <w:snapToGrid w:val="0"/>
        <w:ind w:firstLine="560"/>
        <w:rPr>
          <w:color w:val="auto"/>
          <w:spacing w:val="-6"/>
          <w:szCs w:val="28"/>
          <w:highlight w:val="none"/>
        </w:rPr>
      </w:pPr>
      <w:r>
        <w:rPr>
          <w:rFonts w:hint="eastAsia"/>
          <w:color w:val="auto"/>
          <w:szCs w:val="28"/>
          <w:highlight w:val="none"/>
        </w:rPr>
        <w:t>参选人</w:t>
      </w:r>
      <w:r>
        <w:rPr>
          <w:rFonts w:hint="eastAsia"/>
          <w:color w:val="auto"/>
          <w:spacing w:val="-6"/>
          <w:szCs w:val="28"/>
          <w:highlight w:val="none"/>
        </w:rPr>
        <w:t>是指响应比选、参加竞争性比选的法人、其他组织或者自然人。</w:t>
      </w:r>
    </w:p>
    <w:p w14:paraId="68EC0264">
      <w:pPr>
        <w:adjustRightInd w:val="0"/>
        <w:snapToGrid w:val="0"/>
        <w:ind w:firstLine="560"/>
        <w:rPr>
          <w:color w:val="auto"/>
          <w:szCs w:val="28"/>
          <w:highlight w:val="none"/>
        </w:rPr>
      </w:pPr>
      <w:r>
        <w:rPr>
          <w:rFonts w:hint="eastAsia"/>
          <w:color w:val="auto"/>
          <w:szCs w:val="28"/>
          <w:highlight w:val="none"/>
        </w:rPr>
        <w:t>（二）合格参选人条件</w:t>
      </w:r>
    </w:p>
    <w:p w14:paraId="41249DBB">
      <w:pPr>
        <w:adjustRightInd w:val="0"/>
        <w:snapToGrid w:val="0"/>
        <w:ind w:firstLine="560"/>
        <w:rPr>
          <w:color w:val="auto"/>
          <w:szCs w:val="28"/>
          <w:highlight w:val="none"/>
        </w:rPr>
      </w:pPr>
      <w:r>
        <w:rPr>
          <w:rFonts w:hint="eastAsia"/>
          <w:color w:val="auto"/>
          <w:szCs w:val="28"/>
          <w:highlight w:val="none"/>
        </w:rPr>
        <w:t>合格参选人应完全符合比选文件第一篇中规定的参选人资格条件，并对比选文件作出实质性响应。</w:t>
      </w:r>
    </w:p>
    <w:p w14:paraId="34C3DBE3">
      <w:pPr>
        <w:adjustRightInd w:val="0"/>
        <w:snapToGrid w:val="0"/>
        <w:ind w:firstLine="560"/>
        <w:rPr>
          <w:color w:val="auto"/>
          <w:szCs w:val="28"/>
          <w:highlight w:val="none"/>
        </w:rPr>
      </w:pPr>
      <w:r>
        <w:rPr>
          <w:rFonts w:hint="eastAsia"/>
          <w:color w:val="auto"/>
          <w:szCs w:val="28"/>
          <w:highlight w:val="none"/>
        </w:rPr>
        <w:t>（三）参选的风险</w:t>
      </w:r>
    </w:p>
    <w:p w14:paraId="58D75BD8">
      <w:pPr>
        <w:adjustRightInd w:val="0"/>
        <w:snapToGrid w:val="0"/>
        <w:ind w:firstLine="560"/>
        <w:rPr>
          <w:color w:val="auto"/>
          <w:szCs w:val="28"/>
          <w:highlight w:val="none"/>
        </w:rPr>
      </w:pPr>
      <w:r>
        <w:rPr>
          <w:rFonts w:hint="eastAsia"/>
          <w:color w:val="auto"/>
          <w:szCs w:val="28"/>
          <w:highlight w:val="none"/>
        </w:rPr>
        <w:t>参选人没有按照比选文件要求提供全部资料，或者参选人没有对比选文件在各方面作出实质性响应，可能导致参选被拒绝或评定为无效参选。</w:t>
      </w:r>
    </w:p>
    <w:p w14:paraId="58EB5924">
      <w:pPr>
        <w:adjustRightInd w:val="0"/>
        <w:snapToGrid w:val="0"/>
        <w:ind w:firstLine="560"/>
        <w:rPr>
          <w:color w:val="auto"/>
          <w:szCs w:val="28"/>
          <w:highlight w:val="none"/>
        </w:rPr>
      </w:pPr>
      <w:r>
        <w:rPr>
          <w:rFonts w:hint="eastAsia"/>
          <w:color w:val="auto"/>
          <w:szCs w:val="28"/>
          <w:highlight w:val="none"/>
        </w:rPr>
        <w:t>（四）法律责任</w:t>
      </w:r>
    </w:p>
    <w:p w14:paraId="57C79497">
      <w:pPr>
        <w:adjustRightInd w:val="0"/>
        <w:snapToGrid w:val="0"/>
        <w:ind w:firstLine="560"/>
        <w:rPr>
          <w:color w:val="auto"/>
          <w:szCs w:val="28"/>
          <w:highlight w:val="none"/>
        </w:rPr>
      </w:pPr>
      <w:bookmarkStart w:id="138" w:name="_Hlk225260581"/>
      <w:r>
        <w:rPr>
          <w:rFonts w:hint="eastAsia"/>
          <w:color w:val="auto"/>
          <w:szCs w:val="28"/>
          <w:highlight w:val="none"/>
        </w:rPr>
        <w:t>参选人违反国家相关招标采购法律法规的规定，将按规定追究参选人法律责任。</w:t>
      </w:r>
    </w:p>
    <w:bookmarkEnd w:id="138"/>
    <w:p w14:paraId="1E9C4EE2">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二、比选文件</w:t>
      </w:r>
    </w:p>
    <w:p w14:paraId="6D8AE866">
      <w:pPr>
        <w:ind w:firstLine="560"/>
        <w:rPr>
          <w:rFonts w:ascii="Times New Roman" w:hAnsi="Times New Roman" w:eastAsia="仿宋"/>
          <w:color w:val="auto"/>
          <w:highlight w:val="none"/>
        </w:rPr>
      </w:pPr>
      <w:r>
        <w:rPr>
          <w:rFonts w:ascii="Times New Roman" w:hAnsi="Times New Roman" w:eastAsia="仿宋"/>
          <w:color w:val="auto"/>
          <w:highlight w:val="none"/>
        </w:rPr>
        <w:t>比选文件是</w:t>
      </w:r>
      <w:r>
        <w:rPr>
          <w:rFonts w:hint="eastAsia" w:ascii="Times New Roman" w:hAnsi="Times New Roman" w:eastAsia="仿宋"/>
          <w:color w:val="auto"/>
          <w:highlight w:val="none"/>
        </w:rPr>
        <w:t>参选人</w:t>
      </w:r>
      <w:r>
        <w:rPr>
          <w:rFonts w:ascii="Times New Roman" w:hAnsi="Times New Roman" w:eastAsia="仿宋"/>
          <w:color w:val="auto"/>
          <w:highlight w:val="none"/>
        </w:rPr>
        <w:t>编制参选文件的依据，是</w:t>
      </w:r>
      <w:r>
        <w:rPr>
          <w:rFonts w:hint="eastAsia" w:ascii="Times New Roman" w:hAnsi="Times New Roman" w:eastAsia="仿宋"/>
          <w:color w:val="auto"/>
          <w:highlight w:val="none"/>
        </w:rPr>
        <w:t>比选小组</w:t>
      </w:r>
      <w:r>
        <w:rPr>
          <w:rFonts w:ascii="Times New Roman" w:hAnsi="Times New Roman" w:eastAsia="仿宋"/>
          <w:color w:val="auto"/>
          <w:highlight w:val="none"/>
        </w:rPr>
        <w:t>评判依据和标准。比选文件也是采购人与中选</w:t>
      </w:r>
      <w:r>
        <w:rPr>
          <w:rFonts w:hint="eastAsia" w:ascii="Times New Roman" w:hAnsi="Times New Roman" w:eastAsia="仿宋"/>
          <w:color w:val="auto"/>
          <w:highlight w:val="none"/>
        </w:rPr>
        <w:t>参选人</w:t>
      </w:r>
      <w:r>
        <w:rPr>
          <w:rFonts w:ascii="Times New Roman" w:hAnsi="Times New Roman" w:eastAsia="仿宋"/>
          <w:color w:val="auto"/>
          <w:highlight w:val="none"/>
        </w:rPr>
        <w:t>签订合同的基础。</w:t>
      </w:r>
    </w:p>
    <w:p w14:paraId="05028905">
      <w:pPr>
        <w:ind w:firstLine="560"/>
        <w:rPr>
          <w:rFonts w:ascii="Times New Roman" w:hAnsi="Times New Roman" w:eastAsia="仿宋"/>
          <w:color w:val="auto"/>
          <w:highlight w:val="none"/>
        </w:rPr>
      </w:pPr>
      <w:r>
        <w:rPr>
          <w:rFonts w:ascii="Times New Roman" w:hAnsi="Times New Roman" w:eastAsia="仿宋"/>
          <w:color w:val="auto"/>
          <w:highlight w:val="none"/>
        </w:rPr>
        <w:t>（一）比选文件由比选邀请书、项目服务需求、项目商务要求、</w:t>
      </w:r>
      <w:r>
        <w:rPr>
          <w:rFonts w:hint="eastAsia" w:ascii="Times New Roman" w:hAnsi="Times New Roman" w:eastAsia="仿宋"/>
          <w:color w:val="auto"/>
          <w:highlight w:val="none"/>
        </w:rPr>
        <w:t>参选人</w:t>
      </w:r>
      <w:r>
        <w:rPr>
          <w:rFonts w:ascii="Times New Roman" w:hAnsi="Times New Roman" w:eastAsia="仿宋"/>
          <w:color w:val="auto"/>
          <w:highlight w:val="none"/>
        </w:rPr>
        <w:t>须知、资格审查及评</w:t>
      </w:r>
      <w:r>
        <w:rPr>
          <w:rFonts w:hint="eastAsia" w:ascii="Times New Roman" w:hAnsi="Times New Roman" w:eastAsia="仿宋"/>
          <w:color w:val="auto"/>
          <w:highlight w:val="none"/>
        </w:rPr>
        <w:t>选</w:t>
      </w:r>
      <w:r>
        <w:rPr>
          <w:rFonts w:ascii="Times New Roman" w:hAnsi="Times New Roman" w:eastAsia="仿宋"/>
          <w:color w:val="auto"/>
          <w:highlight w:val="none"/>
        </w:rPr>
        <w:t>办法、合同主要条款和格式合同、参选文件编制要求等七部分组成。</w:t>
      </w:r>
    </w:p>
    <w:p w14:paraId="4D4F30F3">
      <w:pPr>
        <w:ind w:firstLine="560"/>
        <w:rPr>
          <w:rFonts w:ascii="Times New Roman" w:hAnsi="Times New Roman" w:eastAsia="仿宋"/>
          <w:color w:val="auto"/>
          <w:highlight w:val="none"/>
        </w:rPr>
      </w:pPr>
      <w:r>
        <w:rPr>
          <w:rFonts w:ascii="Times New Roman" w:hAnsi="Times New Roman" w:eastAsia="仿宋"/>
          <w:color w:val="auto"/>
          <w:highlight w:val="none"/>
        </w:rPr>
        <w:t>（二）采购人对比选文件所作的一切有效的书面通知、修改及补充，都是比选文件不可分割的部分。</w:t>
      </w:r>
    </w:p>
    <w:p w14:paraId="6378226D">
      <w:pPr>
        <w:adjustRightInd w:val="0"/>
        <w:snapToGrid w:val="0"/>
        <w:ind w:firstLine="560"/>
        <w:rPr>
          <w:color w:val="auto"/>
          <w:szCs w:val="28"/>
          <w:highlight w:val="none"/>
        </w:rPr>
      </w:pPr>
      <w:r>
        <w:rPr>
          <w:rFonts w:hint="eastAsia"/>
          <w:color w:val="auto"/>
          <w:szCs w:val="28"/>
          <w:highlight w:val="none"/>
        </w:rPr>
        <w:t>（三）本项目的比选文件、澄清文件（如果有）一律通过</w:t>
      </w:r>
      <w:bookmarkStart w:id="139" w:name="_Hlk224737478"/>
      <w:r>
        <w:rPr>
          <w:rFonts w:hint="eastAsia"/>
          <w:color w:val="auto"/>
          <w:szCs w:val="28"/>
          <w:highlight w:val="none"/>
        </w:rPr>
        <w:t>重庆华龙网（http://www.cqnews.net）首页发布</w:t>
      </w:r>
      <w:bookmarkEnd w:id="139"/>
      <w:r>
        <w:rPr>
          <w:rFonts w:hint="eastAsia"/>
          <w:color w:val="auto"/>
          <w:szCs w:val="28"/>
          <w:highlight w:val="none"/>
        </w:rPr>
        <w:t>，各参选人注意下载；无论参选人下载与否，均视同参选人已知晓本项目比选文件、澄清文件的内容。</w:t>
      </w:r>
    </w:p>
    <w:p w14:paraId="7215B397">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四</w:t>
      </w:r>
      <w:r>
        <w:rPr>
          <w:rFonts w:ascii="Times New Roman" w:hAnsi="Times New Roman" w:eastAsia="仿宋"/>
          <w:color w:val="auto"/>
          <w:highlight w:val="none"/>
        </w:rPr>
        <w:t>）评审的依据为竞争性比选文件和参选文件（含有效的书面承诺）。</w:t>
      </w:r>
      <w:r>
        <w:rPr>
          <w:rFonts w:hint="eastAsia" w:ascii="Times New Roman" w:hAnsi="Times New Roman" w:eastAsia="仿宋"/>
          <w:color w:val="auto"/>
          <w:highlight w:val="none"/>
        </w:rPr>
        <w:t>比选小组</w:t>
      </w:r>
      <w:r>
        <w:rPr>
          <w:rFonts w:ascii="Times New Roman" w:hAnsi="Times New Roman" w:eastAsia="仿宋"/>
          <w:color w:val="auto"/>
          <w:highlight w:val="none"/>
        </w:rPr>
        <w:t>判断参选文件对竞争性比选文件的响应，仅基于参选文件本身而不靠外部证据。</w:t>
      </w:r>
    </w:p>
    <w:p w14:paraId="4597957A">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三、</w:t>
      </w:r>
      <w:r>
        <w:rPr>
          <w:rFonts w:hint="eastAsia" w:ascii="Times New Roman" w:hAnsi="Times New Roman" w:eastAsia="方正黑体_GBK" w:cs="Times New Roman"/>
          <w:color w:val="auto"/>
          <w:sz w:val="28"/>
          <w:szCs w:val="20"/>
          <w:highlight w:val="none"/>
        </w:rPr>
        <w:t>参选文件</w:t>
      </w:r>
    </w:p>
    <w:p w14:paraId="634E3944">
      <w:pPr>
        <w:ind w:firstLine="560"/>
        <w:rPr>
          <w:rFonts w:ascii="Times New Roman" w:hAnsi="Times New Roman" w:eastAsia="仿宋"/>
          <w:color w:val="auto"/>
          <w:szCs w:val="28"/>
          <w:highlight w:val="none"/>
        </w:rPr>
      </w:pP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应当按照竞争性比选文件的要求编制参选文件，并对竞争性比选文件提出的要求和条件作出实质性响应，参选文件原则上采用软面订本，同时应编制完整的页码、目录。</w:t>
      </w:r>
    </w:p>
    <w:p w14:paraId="4AF7DEA3">
      <w:pPr>
        <w:ind w:firstLine="560"/>
        <w:rPr>
          <w:rFonts w:ascii="Times New Roman" w:hAnsi="Times New Roman" w:eastAsia="仿宋"/>
          <w:color w:val="auto"/>
          <w:highlight w:val="none"/>
        </w:rPr>
      </w:pPr>
      <w:r>
        <w:rPr>
          <w:rFonts w:hint="eastAsia" w:ascii="Times New Roman" w:hAnsi="Times New Roman" w:eastAsia="仿宋"/>
          <w:color w:val="auto"/>
          <w:highlight w:val="none"/>
        </w:rPr>
        <w:t>（一）</w:t>
      </w:r>
      <w:r>
        <w:rPr>
          <w:rFonts w:ascii="Times New Roman" w:hAnsi="Times New Roman" w:eastAsia="仿宋"/>
          <w:color w:val="auto"/>
          <w:highlight w:val="none"/>
        </w:rPr>
        <w:t>参选文件的组成</w:t>
      </w:r>
    </w:p>
    <w:p w14:paraId="2224F380">
      <w:pPr>
        <w:ind w:firstLine="560"/>
        <w:rPr>
          <w:rFonts w:ascii="Times New Roman" w:hAnsi="Times New Roman" w:eastAsia="仿宋"/>
          <w:color w:val="auto"/>
          <w:szCs w:val="28"/>
          <w:highlight w:val="none"/>
        </w:rPr>
      </w:pPr>
      <w:r>
        <w:rPr>
          <w:rFonts w:ascii="Times New Roman" w:hAnsi="Times New Roman" w:eastAsia="仿宋"/>
          <w:color w:val="auto"/>
          <w:szCs w:val="28"/>
          <w:highlight w:val="none"/>
        </w:rPr>
        <w:t>参选文件由第七篇“参选文件编制要求”规定的部分和</w:t>
      </w: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所作的一切有效补充、修改和承诺等文件组成，</w:t>
      </w: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应按照第七篇“参选文件编制要求”规定的目录顺序组织编写和装订，否则有可能影响</w:t>
      </w:r>
      <w:r>
        <w:rPr>
          <w:rFonts w:hint="eastAsia" w:ascii="Times New Roman" w:hAnsi="Times New Roman" w:eastAsia="仿宋"/>
          <w:color w:val="auto"/>
          <w:szCs w:val="28"/>
          <w:highlight w:val="none"/>
        </w:rPr>
        <w:t>比选小组</w:t>
      </w:r>
      <w:r>
        <w:rPr>
          <w:rFonts w:ascii="Times New Roman" w:hAnsi="Times New Roman" w:eastAsia="仿宋"/>
          <w:color w:val="auto"/>
          <w:szCs w:val="28"/>
          <w:highlight w:val="none"/>
        </w:rPr>
        <w:t>对参选文件的评审。也可在基本格式基础上对表格进行扩展，未规定格式的由</w:t>
      </w: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自定格式。</w:t>
      </w:r>
    </w:p>
    <w:p w14:paraId="7E9E38A2">
      <w:pPr>
        <w:adjustRightInd w:val="0"/>
        <w:snapToGrid w:val="0"/>
        <w:ind w:firstLine="560"/>
        <w:rPr>
          <w:color w:val="auto"/>
          <w:szCs w:val="28"/>
          <w:highlight w:val="none"/>
        </w:rPr>
      </w:pPr>
      <w:r>
        <w:rPr>
          <w:rFonts w:hint="eastAsia"/>
          <w:color w:val="auto"/>
          <w:szCs w:val="28"/>
          <w:highlight w:val="none"/>
        </w:rPr>
        <w:t>（二）联合投标</w:t>
      </w:r>
    </w:p>
    <w:p w14:paraId="16EF9577">
      <w:pPr>
        <w:adjustRightInd w:val="0"/>
        <w:snapToGrid w:val="0"/>
        <w:ind w:firstLine="560"/>
        <w:rPr>
          <w:color w:val="auto"/>
          <w:szCs w:val="28"/>
          <w:highlight w:val="none"/>
        </w:rPr>
      </w:pPr>
      <w:r>
        <w:rPr>
          <w:rFonts w:hint="eastAsia"/>
          <w:color w:val="auto"/>
          <w:szCs w:val="28"/>
          <w:highlight w:val="none"/>
        </w:rPr>
        <w:t>本项目不接受联合体投标。</w:t>
      </w:r>
    </w:p>
    <w:p w14:paraId="0045BE64">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三</w:t>
      </w:r>
      <w:r>
        <w:rPr>
          <w:rFonts w:ascii="Times New Roman" w:hAnsi="Times New Roman" w:eastAsia="仿宋"/>
          <w:color w:val="auto"/>
          <w:highlight w:val="none"/>
        </w:rPr>
        <w:t>）比选有效期</w:t>
      </w:r>
    </w:p>
    <w:p w14:paraId="7BCEC0F9">
      <w:pPr>
        <w:ind w:firstLine="560"/>
        <w:rPr>
          <w:color w:val="auto"/>
          <w:highlight w:val="none"/>
        </w:rPr>
      </w:pPr>
      <w:r>
        <w:rPr>
          <w:rFonts w:ascii="Times New Roman" w:hAnsi="Times New Roman" w:eastAsia="仿宋"/>
          <w:color w:val="auto"/>
          <w:highlight w:val="none"/>
        </w:rPr>
        <w:t>参选文件及有关承诺文件有效期为提交参选文件截止时间起90天。</w:t>
      </w:r>
    </w:p>
    <w:p w14:paraId="05C696D1">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四</w:t>
      </w:r>
      <w:r>
        <w:rPr>
          <w:rFonts w:ascii="Times New Roman" w:hAnsi="Times New Roman" w:eastAsia="仿宋"/>
          <w:color w:val="auto"/>
          <w:highlight w:val="none"/>
        </w:rPr>
        <w:t>）参选文件的份数和签署</w:t>
      </w:r>
    </w:p>
    <w:p w14:paraId="2E947A78">
      <w:pPr>
        <w:ind w:firstLine="560"/>
        <w:rPr>
          <w:rFonts w:ascii="Times New Roman" w:hAnsi="Times New Roman" w:eastAsia="仿宋"/>
          <w:color w:val="auto"/>
          <w:highlight w:val="none"/>
        </w:rPr>
      </w:pPr>
      <w:r>
        <w:rPr>
          <w:rFonts w:ascii="Times New Roman" w:hAnsi="Times New Roman" w:eastAsia="仿宋"/>
          <w:color w:val="auto"/>
          <w:highlight w:val="none"/>
        </w:rPr>
        <w:t>1</w:t>
      </w:r>
      <w:r>
        <w:rPr>
          <w:rFonts w:hint="eastAsia" w:ascii="Times New Roman" w:hAnsi="Times New Roman" w:eastAsia="仿宋"/>
          <w:color w:val="auto"/>
          <w:highlight w:val="none"/>
        </w:rPr>
        <w:t>.</w:t>
      </w:r>
      <w:r>
        <w:rPr>
          <w:rFonts w:ascii="Times New Roman" w:hAnsi="Times New Roman" w:eastAsia="仿宋"/>
          <w:color w:val="auto"/>
          <w:highlight w:val="none"/>
        </w:rPr>
        <w:t>参选文件份数。正本1份，副本</w:t>
      </w:r>
      <w:r>
        <w:rPr>
          <w:rFonts w:hint="eastAsia" w:ascii="Times New Roman" w:hAnsi="Times New Roman" w:eastAsia="仿宋"/>
          <w:color w:val="auto"/>
          <w:highlight w:val="none"/>
        </w:rPr>
        <w:t>1</w:t>
      </w:r>
      <w:r>
        <w:rPr>
          <w:rFonts w:ascii="Times New Roman" w:hAnsi="Times New Roman" w:eastAsia="仿宋"/>
          <w:color w:val="auto"/>
          <w:highlight w:val="none"/>
        </w:rPr>
        <w:t>份</w:t>
      </w:r>
      <w:r>
        <w:rPr>
          <w:rFonts w:hint="eastAsia" w:ascii="Times New Roman" w:hAnsi="Times New Roman"/>
          <w:color w:val="auto"/>
          <w:highlight w:val="none"/>
        </w:rPr>
        <w:t>。</w:t>
      </w:r>
      <w:r>
        <w:rPr>
          <w:rFonts w:hint="eastAsia" w:ascii="Times New Roman" w:hAnsi="Times New Roman" w:eastAsia="仿宋"/>
          <w:color w:val="auto"/>
          <w:highlight w:val="none"/>
        </w:rPr>
        <w:t>副本应为正本的完整复印件，副本与正本不一致时以正本为准</w:t>
      </w:r>
      <w:r>
        <w:rPr>
          <w:rFonts w:ascii="Times New Roman" w:hAnsi="Times New Roman" w:eastAsia="仿宋"/>
          <w:color w:val="auto"/>
          <w:highlight w:val="none"/>
        </w:rPr>
        <w:t>，并在各参选文件封面上标注“正本”或“副本”字样</w:t>
      </w:r>
      <w:r>
        <w:rPr>
          <w:rFonts w:hint="eastAsia" w:ascii="Times New Roman" w:hAnsi="Times New Roman" w:eastAsia="仿宋"/>
          <w:color w:val="auto"/>
          <w:highlight w:val="none"/>
        </w:rPr>
        <w:t>；</w:t>
      </w:r>
    </w:p>
    <w:p w14:paraId="112B0F84">
      <w:pPr>
        <w:ind w:firstLine="560"/>
        <w:rPr>
          <w:rFonts w:ascii="Times New Roman" w:hAnsi="Times New Roman" w:eastAsia="仿宋"/>
          <w:color w:val="auto"/>
          <w:highlight w:val="none"/>
        </w:rPr>
      </w:pPr>
      <w:r>
        <w:rPr>
          <w:rFonts w:ascii="Times New Roman" w:hAnsi="Times New Roman" w:eastAsia="仿宋"/>
          <w:color w:val="auto"/>
          <w:highlight w:val="none"/>
        </w:rPr>
        <w:t>2</w:t>
      </w:r>
      <w:r>
        <w:rPr>
          <w:rFonts w:hint="eastAsia" w:ascii="Times New Roman" w:hAnsi="Times New Roman" w:eastAsia="仿宋"/>
          <w:color w:val="auto"/>
          <w:highlight w:val="none"/>
        </w:rPr>
        <w:t>.</w:t>
      </w:r>
      <w:r>
        <w:rPr>
          <w:rFonts w:ascii="Times New Roman" w:hAnsi="Times New Roman" w:eastAsia="仿宋"/>
          <w:color w:val="auto"/>
          <w:highlight w:val="none"/>
        </w:rPr>
        <w:t>在参选文件正本中，比选文件第七篇“参选文件编制要求”中规定签字、盖章的地方必须按其规定签字、盖章；</w:t>
      </w:r>
    </w:p>
    <w:p w14:paraId="3BFEF04D">
      <w:pPr>
        <w:ind w:firstLine="560"/>
        <w:rPr>
          <w:rFonts w:ascii="Times New Roman" w:hAnsi="Times New Roman" w:eastAsia="仿宋"/>
          <w:color w:val="auto"/>
          <w:highlight w:val="none"/>
        </w:rPr>
      </w:pPr>
      <w:r>
        <w:rPr>
          <w:rFonts w:ascii="Times New Roman" w:hAnsi="Times New Roman" w:eastAsia="仿宋"/>
          <w:color w:val="auto"/>
          <w:highlight w:val="none"/>
        </w:rPr>
        <w:t>3</w:t>
      </w:r>
      <w:r>
        <w:rPr>
          <w:rFonts w:hint="eastAsia" w:ascii="Times New Roman" w:hAnsi="Times New Roman" w:eastAsia="仿宋"/>
          <w:color w:val="auto"/>
          <w:highlight w:val="none"/>
        </w:rPr>
        <w:t>.</w:t>
      </w:r>
      <w:r>
        <w:rPr>
          <w:rFonts w:ascii="Times New Roman" w:hAnsi="Times New Roman" w:eastAsia="仿宋"/>
          <w:color w:val="auto"/>
          <w:highlight w:val="none"/>
        </w:rPr>
        <w:t>若</w:t>
      </w:r>
      <w:r>
        <w:rPr>
          <w:rFonts w:hint="eastAsia" w:ascii="Times New Roman" w:hAnsi="Times New Roman" w:eastAsia="仿宋"/>
          <w:color w:val="auto"/>
          <w:highlight w:val="none"/>
        </w:rPr>
        <w:t>参选人</w:t>
      </w:r>
      <w:r>
        <w:rPr>
          <w:rFonts w:ascii="Times New Roman" w:hAnsi="Times New Roman" w:eastAsia="仿宋"/>
          <w:color w:val="auto"/>
          <w:highlight w:val="none"/>
        </w:rPr>
        <w:t>对参选文件的错处做必要修改，则应在修改处加盖</w:t>
      </w:r>
      <w:r>
        <w:rPr>
          <w:rFonts w:hint="eastAsia" w:ascii="Times New Roman" w:hAnsi="Times New Roman" w:eastAsia="仿宋"/>
          <w:color w:val="auto"/>
          <w:highlight w:val="none"/>
        </w:rPr>
        <w:t>参选人</w:t>
      </w:r>
      <w:r>
        <w:rPr>
          <w:rFonts w:ascii="Times New Roman" w:hAnsi="Times New Roman" w:eastAsia="仿宋"/>
          <w:color w:val="auto"/>
          <w:highlight w:val="none"/>
        </w:rPr>
        <w:t>公章或</w:t>
      </w:r>
      <w:r>
        <w:rPr>
          <w:rFonts w:hint="eastAsia" w:ascii="Times New Roman" w:hAnsi="Times New Roman" w:eastAsia="仿宋"/>
          <w:color w:val="auto"/>
          <w:highlight w:val="none"/>
        </w:rPr>
        <w:t>由法定代表人（或其授权代表）或自然人（参选人为自然人）签署确认</w:t>
      </w:r>
      <w:r>
        <w:rPr>
          <w:rFonts w:ascii="Times New Roman" w:hAnsi="Times New Roman" w:eastAsia="仿宋"/>
          <w:color w:val="auto"/>
          <w:highlight w:val="none"/>
        </w:rPr>
        <w:t>；</w:t>
      </w:r>
    </w:p>
    <w:p w14:paraId="3E55A066">
      <w:pPr>
        <w:ind w:firstLine="560"/>
        <w:rPr>
          <w:rFonts w:ascii="Times New Roman" w:hAnsi="Times New Roman" w:eastAsia="仿宋"/>
          <w:color w:val="auto"/>
          <w:highlight w:val="none"/>
        </w:rPr>
      </w:pPr>
      <w:r>
        <w:rPr>
          <w:rFonts w:hint="eastAsia" w:ascii="Times New Roman" w:hAnsi="Times New Roman" w:eastAsia="仿宋"/>
          <w:color w:val="auto"/>
          <w:highlight w:val="none"/>
        </w:rPr>
        <w:t>4.电报、电话、传真形式的参选文件概不接受</w:t>
      </w:r>
      <w:r>
        <w:rPr>
          <w:rFonts w:ascii="Times New Roman" w:hAnsi="Times New Roman" w:eastAsia="仿宋"/>
          <w:color w:val="auto"/>
          <w:highlight w:val="none"/>
        </w:rPr>
        <w:t>。</w:t>
      </w:r>
    </w:p>
    <w:p w14:paraId="75F74E81">
      <w:pPr>
        <w:ind w:firstLine="560"/>
        <w:rPr>
          <w:rFonts w:ascii="Times New Roman" w:hAnsi="Times New Roman" w:eastAsia="仿宋"/>
          <w:color w:val="auto"/>
          <w:highlight w:val="none"/>
        </w:rPr>
      </w:pPr>
      <w:r>
        <w:rPr>
          <w:rFonts w:hint="eastAsia" w:ascii="Times New Roman" w:hAnsi="Times New Roman" w:eastAsia="仿宋"/>
          <w:color w:val="auto"/>
          <w:highlight w:val="none"/>
        </w:rPr>
        <w:t>（五）比选报价</w:t>
      </w:r>
    </w:p>
    <w:p w14:paraId="2B8BA8D2">
      <w:pPr>
        <w:ind w:firstLine="560"/>
        <w:rPr>
          <w:rFonts w:ascii="Times New Roman" w:hAnsi="Times New Roman" w:eastAsia="仿宋"/>
          <w:color w:val="auto"/>
          <w:spacing w:val="-6"/>
          <w:highlight w:val="none"/>
        </w:rPr>
      </w:pPr>
      <w:r>
        <w:rPr>
          <w:rFonts w:hint="eastAsia" w:ascii="Times New Roman" w:hAnsi="Times New Roman" w:eastAsia="仿宋"/>
          <w:color w:val="auto"/>
          <w:spacing w:val="-6"/>
          <w:highlight w:val="none"/>
        </w:rPr>
        <w:t>1.参选人应严格按照“参选文件格式”中“开标一览表”格式填写报价。</w:t>
      </w:r>
    </w:p>
    <w:p w14:paraId="27D840CE">
      <w:pPr>
        <w:ind w:firstLine="560"/>
        <w:rPr>
          <w:rFonts w:ascii="Times New Roman" w:hAnsi="Times New Roman" w:eastAsia="仿宋"/>
          <w:color w:val="auto"/>
          <w:highlight w:val="none"/>
        </w:rPr>
      </w:pPr>
      <w:r>
        <w:rPr>
          <w:rFonts w:hint="eastAsia" w:ascii="Times New Roman" w:hAnsi="Times New Roman" w:eastAsia="仿宋"/>
          <w:color w:val="auto"/>
          <w:highlight w:val="none"/>
        </w:rPr>
        <w:t>2.参选人的报价为一次性报价，即在参选有效期内参选价格固定不变。</w:t>
      </w:r>
    </w:p>
    <w:p w14:paraId="2E3AE160">
      <w:pPr>
        <w:ind w:left="560" w:leftChars="200" w:firstLine="0" w:firstLineChars="0"/>
        <w:rPr>
          <w:rFonts w:ascii="Times New Roman" w:hAnsi="Times New Roman" w:eastAsia="仿宋"/>
          <w:color w:val="auto"/>
          <w:highlight w:val="none"/>
        </w:rPr>
      </w:pPr>
      <w:r>
        <w:rPr>
          <w:rFonts w:hint="eastAsia" w:ascii="Times New Roman" w:hAnsi="Times New Roman" w:eastAsia="仿宋"/>
          <w:color w:val="auto"/>
          <w:highlight w:val="none"/>
        </w:rPr>
        <w:t>3.本项目只接受一个比选报价，有选择的或有条件的报价将不予接受。</w:t>
      </w:r>
      <w:r>
        <w:rPr>
          <w:rFonts w:ascii="Times New Roman" w:hAnsi="Times New Roman" w:eastAsia="仿宋"/>
          <w:color w:val="auto"/>
          <w:highlight w:val="none"/>
        </w:rPr>
        <w:t>（</w:t>
      </w:r>
      <w:r>
        <w:rPr>
          <w:rFonts w:hint="eastAsia" w:ascii="Times New Roman" w:hAnsi="Times New Roman" w:eastAsia="仿宋"/>
          <w:color w:val="auto"/>
          <w:highlight w:val="none"/>
        </w:rPr>
        <w:t>六</w:t>
      </w:r>
      <w:r>
        <w:rPr>
          <w:rFonts w:ascii="Times New Roman" w:hAnsi="Times New Roman" w:eastAsia="仿宋"/>
          <w:color w:val="auto"/>
          <w:highlight w:val="none"/>
        </w:rPr>
        <w:t>）修正错误</w:t>
      </w:r>
    </w:p>
    <w:p w14:paraId="23E4DEBE">
      <w:pPr>
        <w:ind w:firstLine="560"/>
        <w:rPr>
          <w:rFonts w:ascii="Times New Roman" w:hAnsi="Times New Roman" w:eastAsia="仿宋"/>
          <w:color w:val="auto"/>
          <w:highlight w:val="none"/>
        </w:rPr>
      </w:pPr>
      <w:r>
        <w:rPr>
          <w:rFonts w:ascii="Times New Roman" w:hAnsi="Times New Roman" w:eastAsia="仿宋"/>
          <w:color w:val="auto"/>
          <w:highlight w:val="none"/>
        </w:rPr>
        <w:t>若参选文件出现计算或表达上的错误，修正错误的原则如下：</w:t>
      </w:r>
    </w:p>
    <w:p w14:paraId="1E41E1B6">
      <w:pPr>
        <w:ind w:firstLine="560"/>
        <w:rPr>
          <w:rFonts w:ascii="Times New Roman" w:hAnsi="Times New Roman" w:eastAsia="仿宋"/>
          <w:color w:val="auto"/>
          <w:highlight w:val="none"/>
        </w:rPr>
      </w:pPr>
      <w:r>
        <w:rPr>
          <w:rFonts w:ascii="Times New Roman" w:hAnsi="Times New Roman" w:eastAsia="仿宋"/>
          <w:color w:val="auto"/>
          <w:highlight w:val="none"/>
        </w:rPr>
        <w:t>1.参选文件中报价一览表（报价表）内容与参选文件中相应内容不一致的，以报价一览表（报价表）为准；</w:t>
      </w:r>
    </w:p>
    <w:p w14:paraId="607CCFEB">
      <w:pPr>
        <w:ind w:firstLine="560"/>
        <w:rPr>
          <w:rFonts w:ascii="Times New Roman" w:hAnsi="Times New Roman" w:eastAsia="仿宋"/>
          <w:color w:val="auto"/>
          <w:highlight w:val="none"/>
        </w:rPr>
      </w:pPr>
      <w:r>
        <w:rPr>
          <w:rFonts w:ascii="Times New Roman" w:hAnsi="Times New Roman" w:eastAsia="仿宋"/>
          <w:color w:val="auto"/>
          <w:highlight w:val="none"/>
        </w:rPr>
        <w:t>2.大写金额和小写金额不一致的，以大写金额为准；</w:t>
      </w:r>
    </w:p>
    <w:p w14:paraId="2F414B2E">
      <w:pPr>
        <w:ind w:firstLine="560"/>
        <w:rPr>
          <w:rFonts w:ascii="Times New Roman" w:hAnsi="Times New Roman" w:eastAsia="仿宋"/>
          <w:color w:val="auto"/>
          <w:highlight w:val="none"/>
        </w:rPr>
      </w:pPr>
      <w:r>
        <w:rPr>
          <w:rFonts w:ascii="Times New Roman" w:hAnsi="Times New Roman" w:eastAsia="仿宋"/>
          <w:color w:val="auto"/>
          <w:highlight w:val="none"/>
        </w:rPr>
        <w:t>3.单价金额小数点或者百分比有明显错位的，以</w:t>
      </w:r>
      <w:r>
        <w:rPr>
          <w:rFonts w:hint="eastAsia" w:ascii="Times New Roman" w:hAnsi="Times New Roman" w:eastAsia="仿宋"/>
          <w:color w:val="auto"/>
          <w:highlight w:val="none"/>
        </w:rPr>
        <w:t>比选</w:t>
      </w:r>
      <w:r>
        <w:rPr>
          <w:rFonts w:ascii="Times New Roman" w:hAnsi="Times New Roman" w:eastAsia="仿宋"/>
          <w:color w:val="auto"/>
          <w:highlight w:val="none"/>
        </w:rPr>
        <w:t>一览表的总价为准，并修改单价；</w:t>
      </w:r>
    </w:p>
    <w:p w14:paraId="76EDF142">
      <w:pPr>
        <w:ind w:firstLine="560"/>
        <w:rPr>
          <w:rFonts w:ascii="Times New Roman" w:hAnsi="Times New Roman" w:eastAsia="仿宋"/>
          <w:color w:val="auto"/>
          <w:highlight w:val="none"/>
        </w:rPr>
      </w:pPr>
      <w:r>
        <w:rPr>
          <w:rFonts w:ascii="Times New Roman" w:hAnsi="Times New Roman" w:eastAsia="仿宋"/>
          <w:color w:val="auto"/>
          <w:highlight w:val="none"/>
        </w:rPr>
        <w:t>4.总价金额与按单价汇总金额不一致的，以单价金额计算结果为准；</w:t>
      </w:r>
    </w:p>
    <w:p w14:paraId="214D711B">
      <w:pPr>
        <w:ind w:firstLine="560"/>
        <w:rPr>
          <w:rFonts w:ascii="Times New Roman" w:hAnsi="Times New Roman" w:eastAsia="仿宋"/>
          <w:color w:val="auto"/>
          <w:highlight w:val="none"/>
        </w:rPr>
      </w:pPr>
      <w:r>
        <w:rPr>
          <w:rFonts w:hint="eastAsia" w:ascii="Times New Roman" w:hAnsi="Times New Roman" w:eastAsia="仿宋"/>
          <w:color w:val="auto"/>
          <w:highlight w:val="none"/>
        </w:rPr>
        <w:t>比选小组</w:t>
      </w:r>
      <w:r>
        <w:rPr>
          <w:rFonts w:ascii="Times New Roman" w:hAnsi="Times New Roman" w:eastAsia="仿宋"/>
          <w:color w:val="auto"/>
          <w:highlight w:val="none"/>
        </w:rPr>
        <w:t>按上述修正错误的原则及方法调整或修正</w:t>
      </w:r>
      <w:r>
        <w:rPr>
          <w:rFonts w:hint="eastAsia" w:ascii="Times New Roman" w:hAnsi="Times New Roman" w:eastAsia="仿宋"/>
          <w:color w:val="auto"/>
          <w:highlight w:val="none"/>
        </w:rPr>
        <w:t>参选人</w:t>
      </w:r>
      <w:r>
        <w:rPr>
          <w:rFonts w:ascii="Times New Roman" w:hAnsi="Times New Roman" w:eastAsia="仿宋"/>
          <w:color w:val="auto"/>
          <w:highlight w:val="none"/>
        </w:rPr>
        <w:t>比选报价，若同时出现两种以上不一致的，按照前款规定的顺序修正，</w:t>
      </w:r>
      <w:r>
        <w:rPr>
          <w:rFonts w:hint="eastAsia" w:ascii="Times New Roman" w:hAnsi="Times New Roman" w:eastAsia="仿宋"/>
          <w:color w:val="auto"/>
          <w:highlight w:val="none"/>
        </w:rPr>
        <w:t>参选人</w:t>
      </w:r>
      <w:r>
        <w:rPr>
          <w:rFonts w:ascii="Times New Roman" w:hAnsi="Times New Roman" w:eastAsia="仿宋"/>
          <w:color w:val="auto"/>
          <w:highlight w:val="none"/>
        </w:rPr>
        <w:t>同意并签字确认后，调整后的比选报价对</w:t>
      </w:r>
      <w:r>
        <w:rPr>
          <w:rFonts w:hint="eastAsia" w:ascii="Times New Roman" w:hAnsi="Times New Roman" w:eastAsia="仿宋"/>
          <w:color w:val="auto"/>
          <w:highlight w:val="none"/>
        </w:rPr>
        <w:t>参选人</w:t>
      </w:r>
      <w:r>
        <w:rPr>
          <w:rFonts w:ascii="Times New Roman" w:hAnsi="Times New Roman" w:eastAsia="仿宋"/>
          <w:color w:val="auto"/>
          <w:highlight w:val="none"/>
        </w:rPr>
        <w:t>具有约束作用。如果</w:t>
      </w:r>
      <w:r>
        <w:rPr>
          <w:rFonts w:hint="eastAsia" w:ascii="Times New Roman" w:hAnsi="Times New Roman" w:eastAsia="仿宋"/>
          <w:color w:val="auto"/>
          <w:highlight w:val="none"/>
        </w:rPr>
        <w:t>参选人</w:t>
      </w:r>
      <w:r>
        <w:rPr>
          <w:rFonts w:ascii="Times New Roman" w:hAnsi="Times New Roman" w:eastAsia="仿宋"/>
          <w:color w:val="auto"/>
          <w:highlight w:val="none"/>
        </w:rPr>
        <w:t>不接受修正后的报价，则其比选将作为无效比选处理。</w:t>
      </w:r>
    </w:p>
    <w:p w14:paraId="32F8E3AA">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七</w:t>
      </w:r>
      <w:r>
        <w:rPr>
          <w:rFonts w:ascii="Times New Roman" w:hAnsi="Times New Roman" w:eastAsia="仿宋"/>
          <w:color w:val="auto"/>
          <w:highlight w:val="none"/>
        </w:rPr>
        <w:t>）参选文件的递交</w:t>
      </w:r>
    </w:p>
    <w:p w14:paraId="1142B5D8">
      <w:pPr>
        <w:ind w:firstLine="560"/>
        <w:rPr>
          <w:rFonts w:ascii="Times New Roman" w:hAnsi="Times New Roman" w:eastAsia="仿宋"/>
          <w:color w:val="auto"/>
          <w:highlight w:val="none"/>
        </w:rPr>
      </w:pPr>
      <w:r>
        <w:rPr>
          <w:rFonts w:ascii="Times New Roman" w:hAnsi="Times New Roman" w:eastAsia="仿宋"/>
          <w:color w:val="auto"/>
          <w:highlight w:val="none"/>
        </w:rPr>
        <w:t>1.凡符合本比选文件资质要求的</w:t>
      </w:r>
      <w:r>
        <w:rPr>
          <w:rFonts w:hint="eastAsia" w:ascii="Times New Roman" w:hAnsi="Times New Roman" w:eastAsia="仿宋"/>
          <w:color w:val="auto"/>
          <w:highlight w:val="none"/>
        </w:rPr>
        <w:t>参选人</w:t>
      </w:r>
      <w:r>
        <w:rPr>
          <w:rFonts w:ascii="Times New Roman" w:hAnsi="Times New Roman" w:eastAsia="仿宋"/>
          <w:color w:val="auto"/>
          <w:highlight w:val="none"/>
        </w:rPr>
        <w:t>，应按要求编制好参选文件，并在规定的有效时间内递交到指定地点；</w:t>
      </w:r>
    </w:p>
    <w:p w14:paraId="4746E514">
      <w:pPr>
        <w:ind w:firstLine="560"/>
        <w:rPr>
          <w:rFonts w:ascii="Times New Roman" w:hAnsi="Times New Roman" w:eastAsia="仿宋"/>
          <w:color w:val="auto"/>
          <w:spacing w:val="-6"/>
          <w:highlight w:val="none"/>
        </w:rPr>
      </w:pPr>
      <w:r>
        <w:rPr>
          <w:rFonts w:ascii="Times New Roman" w:hAnsi="Times New Roman" w:eastAsia="仿宋"/>
          <w:color w:val="auto"/>
          <w:highlight w:val="none"/>
        </w:rPr>
        <w:t>2.采</w:t>
      </w:r>
      <w:r>
        <w:rPr>
          <w:rFonts w:ascii="Times New Roman" w:hAnsi="Times New Roman" w:eastAsia="仿宋"/>
          <w:color w:val="auto"/>
          <w:spacing w:val="-6"/>
          <w:highlight w:val="none"/>
        </w:rPr>
        <w:t>购人收到的参选文件，一律不予退还，作为采购档案资料存档备查。</w:t>
      </w:r>
    </w:p>
    <w:p w14:paraId="05CF004B">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四、比选现场</w:t>
      </w:r>
    </w:p>
    <w:p w14:paraId="714AF06B">
      <w:pPr>
        <w:ind w:firstLine="560"/>
        <w:rPr>
          <w:rFonts w:ascii="Times New Roman" w:hAnsi="Times New Roman" w:eastAsia="仿宋"/>
          <w:color w:val="auto"/>
          <w:highlight w:val="none"/>
        </w:rPr>
      </w:pPr>
      <w:r>
        <w:rPr>
          <w:rFonts w:ascii="Times New Roman" w:hAnsi="Times New Roman" w:eastAsia="仿宋"/>
          <w:color w:val="auto"/>
          <w:spacing w:val="-6"/>
          <w:highlight w:val="none"/>
        </w:rPr>
        <w:t>（一）比选应当在比选文件中“比选邀请书”确定的时间和地点公开进行</w:t>
      </w:r>
      <w:r>
        <w:rPr>
          <w:rFonts w:ascii="Times New Roman" w:hAnsi="Times New Roman" w:eastAsia="仿宋"/>
          <w:color w:val="auto"/>
          <w:highlight w:val="none"/>
        </w:rPr>
        <w:t>。</w:t>
      </w:r>
    </w:p>
    <w:p w14:paraId="62F63B65">
      <w:pPr>
        <w:ind w:firstLine="560"/>
        <w:rPr>
          <w:rFonts w:ascii="Times New Roman" w:hAnsi="Times New Roman" w:eastAsia="仿宋"/>
          <w:color w:val="auto"/>
          <w:highlight w:val="none"/>
        </w:rPr>
      </w:pPr>
      <w:r>
        <w:rPr>
          <w:rFonts w:hint="eastAsia" w:ascii="Times New Roman" w:hAnsi="Times New Roman" w:eastAsia="仿宋"/>
          <w:color w:val="auto"/>
          <w:highlight w:val="none"/>
        </w:rPr>
        <w:t>（二）采购人可视采购具体情况，延长比选截止时间和比选时间，并将变更时间书面通知所有比选文件收受人。</w:t>
      </w:r>
    </w:p>
    <w:p w14:paraId="1B517BB8">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三</w:t>
      </w:r>
      <w:r>
        <w:rPr>
          <w:rFonts w:ascii="Times New Roman" w:hAnsi="Times New Roman" w:eastAsia="仿宋"/>
          <w:color w:val="auto"/>
          <w:highlight w:val="none"/>
        </w:rPr>
        <w:t>）比选过程由采购人主持。</w:t>
      </w:r>
    </w:p>
    <w:p w14:paraId="2003F625">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四</w:t>
      </w:r>
      <w:r>
        <w:rPr>
          <w:rFonts w:ascii="Times New Roman" w:hAnsi="Times New Roman" w:eastAsia="仿宋"/>
          <w:color w:val="auto"/>
          <w:highlight w:val="none"/>
        </w:rPr>
        <w:t>）评选时，由</w:t>
      </w:r>
      <w:r>
        <w:rPr>
          <w:rFonts w:hint="eastAsia" w:ascii="Times New Roman" w:hAnsi="Times New Roman" w:eastAsia="仿宋"/>
          <w:color w:val="auto"/>
          <w:highlight w:val="none"/>
        </w:rPr>
        <w:t>参选人</w:t>
      </w:r>
      <w:r>
        <w:rPr>
          <w:rFonts w:ascii="Times New Roman" w:hAnsi="Times New Roman" w:eastAsia="仿宋"/>
          <w:color w:val="auto"/>
          <w:highlight w:val="none"/>
        </w:rPr>
        <w:t>或者其推选的代表检查参选文件的密封情况，经确认密封完好的参选文件，由采购人当众拆封，宣读参选文件正本“</w:t>
      </w:r>
      <w:r>
        <w:rPr>
          <w:rFonts w:hint="eastAsia" w:ascii="Times New Roman" w:hAnsi="Times New Roman" w:eastAsia="仿宋"/>
          <w:color w:val="auto"/>
          <w:highlight w:val="none"/>
        </w:rPr>
        <w:t>比选一览表</w:t>
      </w:r>
      <w:r>
        <w:rPr>
          <w:rFonts w:ascii="Times New Roman" w:hAnsi="Times New Roman" w:eastAsia="仿宋"/>
          <w:color w:val="auto"/>
          <w:highlight w:val="none"/>
        </w:rPr>
        <w:t>”的</w:t>
      </w:r>
      <w:r>
        <w:rPr>
          <w:rFonts w:hint="eastAsia" w:ascii="Times New Roman" w:hAnsi="Times New Roman" w:eastAsia="仿宋"/>
          <w:color w:val="auto"/>
          <w:highlight w:val="none"/>
        </w:rPr>
        <w:t>参选人</w:t>
      </w:r>
      <w:r>
        <w:rPr>
          <w:rFonts w:ascii="Times New Roman" w:hAnsi="Times New Roman" w:eastAsia="仿宋"/>
          <w:color w:val="auto"/>
          <w:highlight w:val="none"/>
        </w:rPr>
        <w:t>名称和比选报价。</w:t>
      </w:r>
    </w:p>
    <w:p w14:paraId="5306BB0A">
      <w:pPr>
        <w:ind w:firstLine="56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五、评标</w:t>
      </w:r>
    </w:p>
    <w:p w14:paraId="48546360">
      <w:pPr>
        <w:pStyle w:val="3"/>
        <w:adjustRightInd w:val="0"/>
        <w:snapToGrid w:val="0"/>
        <w:spacing w:before="0" w:after="0"/>
        <w:ind w:firstLine="560"/>
        <w:jc w:val="left"/>
        <w:rPr>
          <w:color w:val="auto"/>
          <w:highlight w:val="none"/>
        </w:rPr>
      </w:pPr>
      <w:r>
        <w:rPr>
          <w:rFonts w:hint="eastAsia" w:ascii="Times New Roman" w:hAnsi="Times New Roman" w:eastAsia="仿宋" w:cs="Times New Roman"/>
          <w:color w:val="auto"/>
          <w:sz w:val="28"/>
          <w:szCs w:val="24"/>
          <w:highlight w:val="none"/>
        </w:rPr>
        <w:t>见第四篇“评选”内容。</w:t>
      </w:r>
    </w:p>
    <w:p w14:paraId="3CC6886F">
      <w:pPr>
        <w:pStyle w:val="11"/>
        <w:spacing w:line="579" w:lineRule="exact"/>
        <w:ind w:firstLine="560"/>
        <w:rPr>
          <w:rFonts w:ascii="Times New Roman" w:hAnsi="Times New Roman" w:eastAsia="方正黑体_GBK" w:cs="Times New Roman"/>
          <w:color w:val="auto"/>
          <w:szCs w:val="20"/>
          <w:highlight w:val="none"/>
        </w:rPr>
      </w:pPr>
      <w:r>
        <w:rPr>
          <w:rFonts w:ascii="Times New Roman" w:hAnsi="Times New Roman" w:eastAsia="方正黑体_GBK" w:cs="Times New Roman"/>
          <w:color w:val="auto"/>
          <w:szCs w:val="20"/>
          <w:highlight w:val="none"/>
        </w:rPr>
        <w:t>六、中选</w:t>
      </w:r>
    </w:p>
    <w:p w14:paraId="276CD5B4">
      <w:pPr>
        <w:adjustRightInd w:val="0"/>
        <w:snapToGrid w:val="0"/>
        <w:ind w:firstLine="560"/>
        <w:rPr>
          <w:color w:val="auto"/>
          <w:szCs w:val="28"/>
          <w:highlight w:val="none"/>
        </w:rPr>
      </w:pPr>
      <w:r>
        <w:rPr>
          <w:rFonts w:hint="eastAsia"/>
          <w:color w:val="auto"/>
          <w:szCs w:val="28"/>
          <w:highlight w:val="none"/>
        </w:rPr>
        <w:t>（一）中选原则</w:t>
      </w:r>
    </w:p>
    <w:p w14:paraId="154F29E4">
      <w:pPr>
        <w:adjustRightInd w:val="0"/>
        <w:snapToGrid w:val="0"/>
        <w:ind w:firstLine="560"/>
        <w:rPr>
          <w:color w:val="auto"/>
          <w:szCs w:val="28"/>
          <w:highlight w:val="none"/>
        </w:rPr>
      </w:pPr>
      <w:r>
        <w:rPr>
          <w:rFonts w:hint="eastAsia"/>
          <w:color w:val="auto"/>
          <w:szCs w:val="28"/>
          <w:highlight w:val="none"/>
        </w:rPr>
        <w:t>采购人或其授权的比选小组应按照评审报告中推荐的中选候选人排名顺序确定中选人。</w:t>
      </w:r>
    </w:p>
    <w:p w14:paraId="1906DEF5">
      <w:pPr>
        <w:adjustRightInd w:val="0"/>
        <w:snapToGrid w:val="0"/>
        <w:ind w:firstLine="560"/>
        <w:rPr>
          <w:color w:val="auto"/>
          <w:szCs w:val="28"/>
          <w:highlight w:val="none"/>
        </w:rPr>
      </w:pPr>
      <w:r>
        <w:rPr>
          <w:rFonts w:hint="eastAsia"/>
          <w:color w:val="auto"/>
          <w:szCs w:val="28"/>
          <w:highlight w:val="none"/>
        </w:rPr>
        <w:t>（二）中选程序</w:t>
      </w:r>
    </w:p>
    <w:p w14:paraId="37A4094A">
      <w:pPr>
        <w:pStyle w:val="11"/>
        <w:spacing w:line="579" w:lineRule="exact"/>
        <w:ind w:firstLine="560"/>
        <w:rPr>
          <w:rFonts w:ascii="Calibri" w:hAnsi="Calibri" w:eastAsia="方正仿宋_GBK" w:cs="Times New Roman"/>
          <w:color w:val="auto"/>
          <w:szCs w:val="28"/>
          <w:highlight w:val="none"/>
        </w:rPr>
      </w:pPr>
      <w:r>
        <w:rPr>
          <w:rFonts w:eastAsia="方正仿宋_GBK"/>
          <w:color w:val="auto"/>
          <w:szCs w:val="28"/>
          <w:highlight w:val="none"/>
        </w:rPr>
        <w:t>1</w:t>
      </w:r>
      <w:r>
        <w:rPr>
          <w:rFonts w:hint="eastAsia" w:eastAsia="方正仿宋_GBK"/>
          <w:color w:val="auto"/>
          <w:szCs w:val="28"/>
          <w:highlight w:val="none"/>
        </w:rPr>
        <w:t>.采购人应当自出具评</w:t>
      </w:r>
      <w:r>
        <w:rPr>
          <w:rFonts w:hint="eastAsia"/>
          <w:color w:val="auto"/>
          <w:szCs w:val="28"/>
          <w:highlight w:val="none"/>
        </w:rPr>
        <w:t>审</w:t>
      </w:r>
      <w:r>
        <w:rPr>
          <w:rFonts w:hint="eastAsia" w:eastAsia="方正仿宋_GBK"/>
          <w:color w:val="auto"/>
          <w:szCs w:val="28"/>
          <w:highlight w:val="none"/>
        </w:rPr>
        <w:t>报告之日起</w:t>
      </w:r>
      <w:r>
        <w:rPr>
          <w:rFonts w:eastAsia="方正仿宋_GBK"/>
          <w:color w:val="auto"/>
          <w:szCs w:val="28"/>
          <w:highlight w:val="none"/>
        </w:rPr>
        <w:t>5</w:t>
      </w:r>
      <w:r>
        <w:rPr>
          <w:rFonts w:hint="eastAsia" w:eastAsia="方正仿宋_GBK"/>
          <w:color w:val="auto"/>
          <w:szCs w:val="28"/>
          <w:highlight w:val="none"/>
        </w:rPr>
        <w:t>个工作日内按评</w:t>
      </w:r>
      <w:r>
        <w:rPr>
          <w:rFonts w:hint="eastAsia"/>
          <w:color w:val="auto"/>
          <w:szCs w:val="28"/>
          <w:highlight w:val="none"/>
        </w:rPr>
        <w:t>审</w:t>
      </w:r>
      <w:r>
        <w:rPr>
          <w:rFonts w:hint="eastAsia" w:eastAsia="方正仿宋_GBK"/>
          <w:color w:val="auto"/>
          <w:szCs w:val="28"/>
          <w:highlight w:val="none"/>
        </w:rPr>
        <w:t>报告推荐的中</w:t>
      </w:r>
      <w:r>
        <w:rPr>
          <w:rFonts w:hint="eastAsia"/>
          <w:color w:val="auto"/>
          <w:szCs w:val="28"/>
          <w:highlight w:val="none"/>
        </w:rPr>
        <w:t>选</w:t>
      </w:r>
      <w:r>
        <w:rPr>
          <w:rFonts w:hint="eastAsia" w:eastAsia="方正仿宋_GBK"/>
          <w:color w:val="auto"/>
          <w:szCs w:val="28"/>
          <w:highlight w:val="none"/>
        </w:rPr>
        <w:t>候选人顺序确定中</w:t>
      </w:r>
      <w:r>
        <w:rPr>
          <w:rFonts w:hint="eastAsia"/>
          <w:color w:val="auto"/>
          <w:szCs w:val="28"/>
          <w:highlight w:val="none"/>
        </w:rPr>
        <w:t>选</w:t>
      </w:r>
      <w:r>
        <w:rPr>
          <w:rFonts w:hint="eastAsia" w:eastAsia="方正仿宋_GBK"/>
          <w:color w:val="auto"/>
          <w:szCs w:val="28"/>
          <w:highlight w:val="none"/>
        </w:rPr>
        <w:t>人。</w:t>
      </w:r>
    </w:p>
    <w:p w14:paraId="0EF13FC5">
      <w:pPr>
        <w:adjustRightInd w:val="0"/>
        <w:snapToGrid w:val="0"/>
        <w:ind w:firstLine="560"/>
        <w:rPr>
          <w:color w:val="auto"/>
          <w:szCs w:val="28"/>
          <w:highlight w:val="none"/>
        </w:rPr>
      </w:pPr>
      <w:r>
        <w:rPr>
          <w:color w:val="auto"/>
          <w:highlight w:val="none"/>
        </w:rPr>
        <w:t>2</w:t>
      </w:r>
      <w:r>
        <w:rPr>
          <w:rFonts w:hint="eastAsia"/>
          <w:color w:val="auto"/>
          <w:szCs w:val="28"/>
          <w:highlight w:val="none"/>
        </w:rPr>
        <w:t>.采购人应当自中选人确定之日起2个工作日内，在重庆华龙网（http://www.cqnews.net）首页、第1眼app公告中选结果。中选公告期限为1个工作日。</w:t>
      </w:r>
    </w:p>
    <w:p w14:paraId="7E2D96F1">
      <w:pPr>
        <w:pStyle w:val="11"/>
        <w:spacing w:line="579" w:lineRule="exact"/>
        <w:ind w:firstLine="560"/>
        <w:rPr>
          <w:rFonts w:ascii="Times New Roman" w:hAnsi="Times New Roman" w:eastAsia="仿宋"/>
          <w:color w:val="auto"/>
          <w:highlight w:val="none"/>
        </w:rPr>
      </w:pPr>
      <w:r>
        <w:rPr>
          <w:rFonts w:hint="eastAsia" w:ascii="Times New Roman" w:hAnsi="Times New Roman" w:eastAsia="仿宋"/>
          <w:color w:val="auto"/>
          <w:highlight w:val="none"/>
        </w:rPr>
        <w:t>3</w:t>
      </w:r>
      <w:r>
        <w:rPr>
          <w:rFonts w:ascii="Times New Roman" w:hAnsi="Times New Roman" w:eastAsia="仿宋"/>
          <w:color w:val="auto"/>
          <w:highlight w:val="none"/>
        </w:rPr>
        <w:t>.</w:t>
      </w:r>
      <w:r>
        <w:rPr>
          <w:rFonts w:hint="eastAsia" w:ascii="Times New Roman" w:hAnsi="Times New Roman" w:eastAsia="仿宋"/>
          <w:color w:val="auto"/>
          <w:highlight w:val="none"/>
        </w:rPr>
        <w:t>中选人变更</w:t>
      </w:r>
    </w:p>
    <w:p w14:paraId="3604928A">
      <w:pPr>
        <w:ind w:firstLine="560"/>
        <w:rPr>
          <w:rFonts w:ascii="Times New Roman" w:hAnsi="Times New Roman" w:eastAsia="仿宋"/>
          <w:color w:val="auto"/>
          <w:highlight w:val="none"/>
        </w:rPr>
      </w:pPr>
      <w:r>
        <w:rPr>
          <w:rFonts w:hint="eastAsia" w:ascii="Times New Roman" w:hAnsi="Times New Roman" w:eastAsia="仿宋"/>
          <w:color w:val="auto"/>
          <w:highlight w:val="none"/>
        </w:rPr>
        <w:t>中选人拒绝与采购人签订协议的</w:t>
      </w:r>
      <w:r>
        <w:rPr>
          <w:rFonts w:ascii="Times New Roman" w:hAnsi="Times New Roman" w:eastAsia="仿宋"/>
          <w:color w:val="auto"/>
          <w:highlight w:val="none"/>
        </w:rPr>
        <w:t>、</w:t>
      </w:r>
      <w:bookmarkStart w:id="140" w:name="_Hlk225261335"/>
      <w:r>
        <w:rPr>
          <w:rFonts w:ascii="Times New Roman" w:hAnsi="Times New Roman" w:eastAsia="仿宋"/>
          <w:color w:val="auto"/>
          <w:highlight w:val="none"/>
        </w:rPr>
        <w:t>因不可抗力不能履行合同、不按照比选文件要求提交履约保证金，或者被查实存在影响中选结果的违法行为等情形，不符合中选条件的，</w:t>
      </w:r>
      <w:bookmarkEnd w:id="140"/>
      <w:r>
        <w:rPr>
          <w:rFonts w:ascii="Times New Roman" w:hAnsi="Times New Roman" w:eastAsia="仿宋"/>
          <w:color w:val="auto"/>
          <w:highlight w:val="none"/>
        </w:rPr>
        <w:t>采购人可以按照</w:t>
      </w:r>
      <w:r>
        <w:rPr>
          <w:rFonts w:hint="eastAsia" w:ascii="Times New Roman" w:hAnsi="Times New Roman" w:eastAsia="仿宋"/>
          <w:color w:val="auto"/>
          <w:highlight w:val="none"/>
        </w:rPr>
        <w:t>评审报告推荐的</w:t>
      </w:r>
      <w:r>
        <w:rPr>
          <w:rFonts w:ascii="Times New Roman" w:hAnsi="Times New Roman" w:eastAsia="仿宋"/>
          <w:color w:val="auto"/>
          <w:highlight w:val="none"/>
        </w:rPr>
        <w:t>中选候选人</w:t>
      </w:r>
      <w:r>
        <w:rPr>
          <w:rFonts w:hint="eastAsia" w:ascii="Times New Roman" w:hAnsi="Times New Roman" w:eastAsia="仿宋"/>
          <w:color w:val="auto"/>
          <w:highlight w:val="none"/>
        </w:rPr>
        <w:t>顺序</w:t>
      </w:r>
      <w:r>
        <w:rPr>
          <w:rFonts w:ascii="Times New Roman" w:hAnsi="Times New Roman" w:eastAsia="仿宋"/>
          <w:color w:val="auto"/>
          <w:highlight w:val="none"/>
        </w:rPr>
        <w:t>确定</w:t>
      </w:r>
      <w:r>
        <w:rPr>
          <w:rFonts w:hint="eastAsia" w:ascii="Times New Roman" w:hAnsi="Times New Roman" w:eastAsia="仿宋"/>
          <w:color w:val="auto"/>
          <w:highlight w:val="none"/>
        </w:rPr>
        <w:t>下一位</w:t>
      </w:r>
      <w:r>
        <w:rPr>
          <w:rFonts w:ascii="Times New Roman" w:hAnsi="Times New Roman" w:eastAsia="仿宋"/>
          <w:color w:val="auto"/>
          <w:highlight w:val="none"/>
        </w:rPr>
        <w:t>候选人为中选</w:t>
      </w:r>
      <w:r>
        <w:rPr>
          <w:rFonts w:hint="eastAsia" w:ascii="Times New Roman" w:hAnsi="Times New Roman" w:eastAsia="仿宋"/>
          <w:color w:val="auto"/>
          <w:highlight w:val="none"/>
        </w:rPr>
        <w:t>人</w:t>
      </w:r>
      <w:r>
        <w:rPr>
          <w:rFonts w:ascii="Times New Roman" w:hAnsi="Times New Roman" w:eastAsia="仿宋"/>
          <w:color w:val="auto"/>
          <w:highlight w:val="none"/>
        </w:rPr>
        <w:t>，也可以重新</w:t>
      </w:r>
      <w:r>
        <w:rPr>
          <w:rFonts w:hint="eastAsia" w:ascii="Times New Roman" w:hAnsi="Times New Roman" w:eastAsia="仿宋"/>
          <w:color w:val="auto"/>
          <w:highlight w:val="none"/>
        </w:rPr>
        <w:t>开展</w:t>
      </w:r>
      <w:r>
        <w:rPr>
          <w:rFonts w:ascii="Times New Roman" w:hAnsi="Times New Roman" w:eastAsia="仿宋"/>
          <w:color w:val="auto"/>
          <w:highlight w:val="none"/>
        </w:rPr>
        <w:t>比选</w:t>
      </w:r>
      <w:r>
        <w:rPr>
          <w:rFonts w:hint="eastAsia" w:ascii="Times New Roman" w:hAnsi="Times New Roman" w:eastAsia="仿宋"/>
          <w:color w:val="auto"/>
          <w:highlight w:val="none"/>
        </w:rPr>
        <w:t>活动</w:t>
      </w:r>
      <w:r>
        <w:rPr>
          <w:rFonts w:ascii="Times New Roman" w:hAnsi="Times New Roman" w:eastAsia="仿宋"/>
          <w:color w:val="auto"/>
          <w:highlight w:val="none"/>
        </w:rPr>
        <w:t>。</w:t>
      </w:r>
    </w:p>
    <w:p w14:paraId="68767CB1">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七、成交通知</w:t>
      </w:r>
    </w:p>
    <w:p w14:paraId="249A73DC">
      <w:pPr>
        <w:pStyle w:val="11"/>
        <w:spacing w:line="579" w:lineRule="exact"/>
        <w:ind w:firstLine="560"/>
        <w:rPr>
          <w:rFonts w:ascii="Times New Roman" w:hAnsi="Times New Roman" w:eastAsia="仿宋" w:cs="Times New Roman"/>
          <w:color w:val="auto"/>
          <w:sz w:val="32"/>
          <w:szCs w:val="32"/>
          <w:highlight w:val="none"/>
        </w:rPr>
      </w:pPr>
      <w:r>
        <w:rPr>
          <w:rFonts w:ascii="Times New Roman" w:hAnsi="Times New Roman" w:eastAsia="仿宋" w:cs="Times New Roman"/>
          <w:color w:val="auto"/>
          <w:szCs w:val="24"/>
          <w:highlight w:val="none"/>
        </w:rPr>
        <w:t>采购人在中选</w:t>
      </w:r>
      <w:r>
        <w:rPr>
          <w:rFonts w:hint="eastAsia" w:ascii="Times New Roman" w:hAnsi="Times New Roman" w:eastAsia="仿宋" w:cs="Times New Roman"/>
          <w:color w:val="auto"/>
          <w:szCs w:val="24"/>
          <w:highlight w:val="none"/>
        </w:rPr>
        <w:t>参选人</w:t>
      </w:r>
      <w:r>
        <w:rPr>
          <w:rFonts w:ascii="Times New Roman" w:hAnsi="Times New Roman" w:eastAsia="仿宋" w:cs="Times New Roman"/>
          <w:color w:val="auto"/>
          <w:szCs w:val="24"/>
          <w:highlight w:val="none"/>
        </w:rPr>
        <w:t>确定之日起5个工作日内，通知</w:t>
      </w:r>
      <w:r>
        <w:rPr>
          <w:rFonts w:hint="eastAsia" w:ascii="Times New Roman" w:hAnsi="Times New Roman" w:eastAsia="仿宋" w:cs="Times New Roman"/>
          <w:color w:val="auto"/>
          <w:szCs w:val="24"/>
          <w:highlight w:val="none"/>
        </w:rPr>
        <w:t>参选人</w:t>
      </w:r>
      <w:r>
        <w:rPr>
          <w:rFonts w:ascii="Times New Roman" w:hAnsi="Times New Roman" w:eastAsia="仿宋" w:cs="Times New Roman"/>
          <w:color w:val="auto"/>
          <w:szCs w:val="24"/>
          <w:highlight w:val="none"/>
        </w:rPr>
        <w:t>成交结果，并同时向中选</w:t>
      </w:r>
      <w:r>
        <w:rPr>
          <w:rFonts w:hint="eastAsia" w:ascii="Times New Roman" w:hAnsi="Times New Roman" w:eastAsia="仿宋" w:cs="Times New Roman"/>
          <w:color w:val="auto"/>
          <w:szCs w:val="24"/>
          <w:highlight w:val="none"/>
        </w:rPr>
        <w:t>参选人</w:t>
      </w:r>
      <w:r>
        <w:rPr>
          <w:rFonts w:ascii="Times New Roman" w:hAnsi="Times New Roman" w:eastAsia="仿宋" w:cs="Times New Roman"/>
          <w:color w:val="auto"/>
          <w:szCs w:val="24"/>
          <w:highlight w:val="none"/>
        </w:rPr>
        <w:t>发出成交通知书。</w:t>
      </w:r>
    </w:p>
    <w:p w14:paraId="545B856E">
      <w:pPr>
        <w:pStyle w:val="3"/>
        <w:tabs>
          <w:tab w:val="left" w:pos="3495"/>
        </w:tabs>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八、签订合同</w:t>
      </w:r>
      <w:r>
        <w:rPr>
          <w:rFonts w:ascii="Times New Roman" w:hAnsi="Times New Roman" w:eastAsia="方正黑体_GBK" w:cs="Times New Roman"/>
          <w:color w:val="auto"/>
          <w:sz w:val="28"/>
          <w:szCs w:val="20"/>
          <w:highlight w:val="none"/>
        </w:rPr>
        <w:tab/>
      </w:r>
    </w:p>
    <w:p w14:paraId="561AA3E0">
      <w:pPr>
        <w:ind w:firstLine="560"/>
        <w:rPr>
          <w:rFonts w:ascii="Times New Roman" w:hAnsi="Times New Roman" w:eastAsia="仿宋"/>
          <w:color w:val="auto"/>
          <w:highlight w:val="none"/>
        </w:rPr>
      </w:pPr>
      <w:r>
        <w:rPr>
          <w:rFonts w:ascii="Times New Roman" w:hAnsi="Times New Roman" w:eastAsia="仿宋"/>
          <w:color w:val="auto"/>
          <w:highlight w:val="none"/>
        </w:rPr>
        <w:t>（一）采购人和中选</w:t>
      </w:r>
      <w:r>
        <w:rPr>
          <w:rFonts w:hint="eastAsia" w:ascii="Times New Roman" w:hAnsi="Times New Roman" w:eastAsia="仿宋"/>
          <w:color w:val="auto"/>
          <w:highlight w:val="none"/>
        </w:rPr>
        <w:t>参选人</w:t>
      </w:r>
      <w:r>
        <w:rPr>
          <w:rFonts w:ascii="Times New Roman" w:hAnsi="Times New Roman" w:eastAsia="仿宋"/>
          <w:color w:val="auto"/>
          <w:highlight w:val="none"/>
        </w:rPr>
        <w:t>应当自中选通知书发出之日起10日内，按照比选文件和中选</w:t>
      </w:r>
      <w:r>
        <w:rPr>
          <w:rFonts w:hint="eastAsia" w:ascii="Times New Roman" w:hAnsi="Times New Roman" w:eastAsia="仿宋"/>
          <w:color w:val="auto"/>
          <w:highlight w:val="none"/>
        </w:rPr>
        <w:t>参选人</w:t>
      </w:r>
      <w:r>
        <w:rPr>
          <w:rFonts w:ascii="Times New Roman" w:hAnsi="Times New Roman" w:eastAsia="仿宋"/>
          <w:color w:val="auto"/>
          <w:highlight w:val="none"/>
        </w:rPr>
        <w:t>的参选文件订立书面合同。</w:t>
      </w:r>
    </w:p>
    <w:p w14:paraId="570DBD30">
      <w:pPr>
        <w:ind w:firstLine="560"/>
        <w:jc w:val="left"/>
        <w:rPr>
          <w:rFonts w:ascii="Times New Roman" w:hAnsi="Times New Roman" w:eastAsia="仿宋"/>
          <w:color w:val="auto"/>
          <w:spacing w:val="-11"/>
          <w:highlight w:val="none"/>
        </w:rPr>
      </w:pPr>
      <w:r>
        <w:rPr>
          <w:rFonts w:ascii="Times New Roman" w:hAnsi="Times New Roman" w:eastAsia="仿宋"/>
          <w:color w:val="auto"/>
          <w:highlight w:val="none"/>
        </w:rPr>
        <w:t>（二）</w:t>
      </w:r>
      <w:r>
        <w:rPr>
          <w:rFonts w:ascii="Times New Roman" w:hAnsi="Times New Roman" w:eastAsia="仿宋"/>
          <w:color w:val="auto"/>
          <w:spacing w:val="-11"/>
          <w:highlight w:val="none"/>
        </w:rPr>
        <w:t>比选文件要求中选</w:t>
      </w:r>
      <w:r>
        <w:rPr>
          <w:rFonts w:hint="eastAsia" w:ascii="Times New Roman" w:hAnsi="Times New Roman" w:eastAsia="仿宋"/>
          <w:color w:val="auto"/>
          <w:spacing w:val="-11"/>
          <w:highlight w:val="none"/>
        </w:rPr>
        <w:t>参选人</w:t>
      </w:r>
      <w:r>
        <w:rPr>
          <w:rFonts w:ascii="Times New Roman" w:hAnsi="Times New Roman" w:eastAsia="仿宋"/>
          <w:color w:val="auto"/>
          <w:spacing w:val="-11"/>
          <w:highlight w:val="none"/>
        </w:rPr>
        <w:t>提交履约保证金的，中选</w:t>
      </w:r>
      <w:r>
        <w:rPr>
          <w:rFonts w:hint="eastAsia" w:ascii="Times New Roman" w:hAnsi="Times New Roman" w:eastAsia="仿宋"/>
          <w:color w:val="auto"/>
          <w:spacing w:val="-11"/>
          <w:highlight w:val="none"/>
        </w:rPr>
        <w:t>参选人</w:t>
      </w:r>
      <w:r>
        <w:rPr>
          <w:rFonts w:ascii="Times New Roman" w:hAnsi="Times New Roman" w:eastAsia="仿宋"/>
          <w:color w:val="auto"/>
          <w:spacing w:val="-11"/>
          <w:highlight w:val="none"/>
        </w:rPr>
        <w:t>应</w:t>
      </w:r>
      <w:r>
        <w:rPr>
          <w:rFonts w:hint="eastAsia" w:ascii="Times New Roman" w:hAnsi="Times New Roman" w:eastAsia="仿宋"/>
          <w:color w:val="auto"/>
          <w:spacing w:val="-11"/>
          <w:highlight w:val="none"/>
        </w:rPr>
        <w:t>当</w:t>
      </w:r>
      <w:r>
        <w:rPr>
          <w:rFonts w:ascii="Times New Roman" w:hAnsi="Times New Roman" w:eastAsia="仿宋"/>
          <w:color w:val="auto"/>
          <w:spacing w:val="-11"/>
          <w:highlight w:val="none"/>
        </w:rPr>
        <w:t>提交。</w:t>
      </w:r>
    </w:p>
    <w:p w14:paraId="77E521A2">
      <w:pPr>
        <w:ind w:firstLine="598"/>
        <w:jc w:val="left"/>
        <w:rPr>
          <w:rFonts w:hint="eastAsia" w:ascii="Times New Roman" w:hAnsi="Times New Roman" w:eastAsia="方正小标宋_GBK"/>
          <w:b/>
          <w:bCs/>
          <w:color w:val="auto"/>
          <w:spacing w:val="-11"/>
          <w:kern w:val="44"/>
          <w:sz w:val="32"/>
          <w:szCs w:val="44"/>
          <w:highlight w:val="none"/>
        </w:rPr>
      </w:pPr>
    </w:p>
    <w:p w14:paraId="765BAAC7">
      <w:pPr>
        <w:ind w:firstLine="598"/>
        <w:jc w:val="left"/>
        <w:rPr>
          <w:rFonts w:hint="eastAsia" w:ascii="Times New Roman" w:hAnsi="Times New Roman" w:eastAsia="方正小标宋_GBK"/>
          <w:b/>
          <w:bCs/>
          <w:color w:val="auto"/>
          <w:spacing w:val="-11"/>
          <w:kern w:val="44"/>
          <w:sz w:val="32"/>
          <w:szCs w:val="44"/>
          <w:highlight w:val="none"/>
        </w:rPr>
      </w:pPr>
    </w:p>
    <w:p w14:paraId="7243AD32">
      <w:pPr>
        <w:ind w:firstLine="598"/>
        <w:jc w:val="left"/>
        <w:rPr>
          <w:rFonts w:hint="eastAsia" w:ascii="Times New Roman" w:hAnsi="Times New Roman" w:eastAsia="方正小标宋_GBK"/>
          <w:b/>
          <w:bCs/>
          <w:color w:val="auto"/>
          <w:spacing w:val="-11"/>
          <w:kern w:val="44"/>
          <w:sz w:val="32"/>
          <w:szCs w:val="44"/>
          <w:highlight w:val="none"/>
        </w:rPr>
      </w:pPr>
    </w:p>
    <w:p w14:paraId="389D5112">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r>
        <w:rPr>
          <w:rFonts w:ascii="Times New Roman" w:hAnsi="Times New Roman" w:eastAsia="方正小标宋_GBK" w:cs="Times New Roman"/>
          <w:b/>
          <w:bCs/>
          <w:color w:val="auto"/>
          <w:kern w:val="44"/>
          <w:sz w:val="32"/>
          <w:szCs w:val="44"/>
          <w:highlight w:val="none"/>
        </w:rPr>
        <w:t>第六篇  合同主要条款（样本）</w:t>
      </w:r>
      <w:bookmarkEnd w:id="114"/>
      <w:bookmarkEnd w:id="115"/>
      <w:bookmarkEnd w:id="116"/>
      <w:bookmarkEnd w:id="117"/>
      <w:bookmarkEnd w:id="118"/>
      <w:bookmarkEnd w:id="119"/>
      <w:bookmarkEnd w:id="120"/>
    </w:p>
    <w:bookmarkEnd w:id="106"/>
    <w:p w14:paraId="472840E9">
      <w:pPr>
        <w:pStyle w:val="28"/>
        <w:adjustRightInd w:val="0"/>
        <w:snapToGrid w:val="0"/>
        <w:spacing w:line="579" w:lineRule="exact"/>
        <w:ind w:firstLine="0" w:firstLineChars="0"/>
        <w:rPr>
          <w:rFonts w:eastAsia="仿宋"/>
          <w:sz w:val="22"/>
          <w:szCs w:val="22"/>
          <w:highlight w:val="none"/>
        </w:rPr>
      </w:pPr>
      <w:bookmarkStart w:id="141" w:name="_Toc18978"/>
      <w:bookmarkStart w:id="142" w:name="_Toc11006"/>
      <w:bookmarkStart w:id="143" w:name="_Toc8201"/>
      <w:bookmarkStart w:id="144" w:name="_Toc7939"/>
      <w:bookmarkStart w:id="145" w:name="_Toc223"/>
    </w:p>
    <w:p w14:paraId="1F972364">
      <w:pPr>
        <w:ind w:firstLine="560"/>
        <w:jc w:val="left"/>
        <w:rPr>
          <w:rFonts w:ascii="Times New Roman"/>
          <w:color w:val="auto"/>
          <w:highlight w:val="none"/>
        </w:rPr>
      </w:pPr>
      <w:bookmarkStart w:id="146" w:name="_Hlk126250423"/>
      <w:r>
        <w:rPr>
          <w:rFonts w:hint="eastAsia" w:ascii="Times New Roman"/>
          <w:color w:val="auto"/>
          <w:highlight w:val="none"/>
        </w:rPr>
        <w:t>甲方：重庆华龙网集团股份有限公司</w:t>
      </w:r>
      <w:r>
        <w:rPr>
          <w:rFonts w:ascii="Times New Roman"/>
          <w:color w:val="auto"/>
          <w:highlight w:val="none"/>
        </w:rPr>
        <w:t xml:space="preserve"> </w:t>
      </w:r>
    </w:p>
    <w:p w14:paraId="1FE00216">
      <w:pPr>
        <w:ind w:firstLine="560"/>
        <w:jc w:val="left"/>
        <w:rPr>
          <w:rFonts w:ascii="宋体" w:hAnsi="宋体"/>
          <w:bCs/>
          <w:color w:val="auto"/>
          <w:highlight w:val="none"/>
        </w:rPr>
      </w:pPr>
      <w:r>
        <w:rPr>
          <w:rFonts w:hint="eastAsia" w:ascii="Times New Roman"/>
          <w:color w:val="auto"/>
          <w:highlight w:val="none"/>
        </w:rPr>
        <w:t>地址：</w:t>
      </w:r>
    </w:p>
    <w:p w14:paraId="126FCD79">
      <w:pPr>
        <w:ind w:firstLine="560"/>
        <w:jc w:val="left"/>
        <w:rPr>
          <w:rFonts w:ascii="Times New Roman"/>
          <w:color w:val="auto"/>
          <w:highlight w:val="none"/>
        </w:rPr>
      </w:pPr>
      <w:r>
        <w:rPr>
          <w:rFonts w:hint="eastAsia" w:ascii="Times New Roman"/>
          <w:color w:val="auto"/>
          <w:highlight w:val="none"/>
        </w:rPr>
        <w:t xml:space="preserve">联系人：                </w:t>
      </w:r>
    </w:p>
    <w:p w14:paraId="2C63363C">
      <w:pPr>
        <w:ind w:firstLine="560"/>
        <w:jc w:val="left"/>
        <w:rPr>
          <w:rFonts w:ascii="Times New Roman"/>
          <w:color w:val="auto"/>
          <w:highlight w:val="none"/>
        </w:rPr>
      </w:pPr>
      <w:r>
        <w:rPr>
          <w:rFonts w:hint="eastAsia" w:ascii="Times New Roman"/>
          <w:color w:val="auto"/>
          <w:highlight w:val="none"/>
        </w:rPr>
        <w:t xml:space="preserve">联系电话：       </w:t>
      </w:r>
    </w:p>
    <w:p w14:paraId="23C282DB">
      <w:pPr>
        <w:ind w:firstLine="560"/>
        <w:jc w:val="left"/>
        <w:rPr>
          <w:rFonts w:ascii="Times New Roman"/>
          <w:color w:val="auto"/>
          <w:highlight w:val="none"/>
        </w:rPr>
      </w:pPr>
    </w:p>
    <w:p w14:paraId="10832261">
      <w:pPr>
        <w:ind w:firstLine="0" w:firstLineChars="0"/>
        <w:jc w:val="left"/>
        <w:rPr>
          <w:rFonts w:ascii="Times New Roman"/>
          <w:color w:val="auto"/>
          <w:highlight w:val="none"/>
        </w:rPr>
      </w:pPr>
    </w:p>
    <w:p w14:paraId="6B4C2511">
      <w:pPr>
        <w:ind w:firstLine="560"/>
        <w:jc w:val="left"/>
        <w:rPr>
          <w:rFonts w:ascii="Times New Roman"/>
          <w:color w:val="auto"/>
          <w:highlight w:val="none"/>
        </w:rPr>
      </w:pPr>
      <w:r>
        <w:rPr>
          <w:rFonts w:hint="eastAsia" w:ascii="Times New Roman"/>
          <w:color w:val="auto"/>
          <w:highlight w:val="none"/>
        </w:rPr>
        <w:t xml:space="preserve">乙方：   </w:t>
      </w:r>
    </w:p>
    <w:p w14:paraId="00820314">
      <w:pPr>
        <w:ind w:firstLine="560"/>
        <w:jc w:val="left"/>
        <w:rPr>
          <w:rFonts w:ascii="Times New Roman"/>
          <w:color w:val="auto"/>
          <w:highlight w:val="none"/>
        </w:rPr>
      </w:pPr>
      <w:r>
        <w:rPr>
          <w:rFonts w:hint="eastAsia" w:ascii="Times New Roman"/>
          <w:color w:val="auto"/>
          <w:highlight w:val="none"/>
        </w:rPr>
        <w:t>地址：</w:t>
      </w:r>
    </w:p>
    <w:p w14:paraId="43B5530F">
      <w:pPr>
        <w:ind w:firstLine="560"/>
        <w:jc w:val="left"/>
        <w:rPr>
          <w:rFonts w:ascii="Times New Roman"/>
          <w:color w:val="auto"/>
          <w:highlight w:val="none"/>
        </w:rPr>
      </w:pPr>
      <w:r>
        <w:rPr>
          <w:rFonts w:hint="eastAsia" w:ascii="Times New Roman"/>
          <w:color w:val="auto"/>
          <w:highlight w:val="none"/>
        </w:rPr>
        <w:t xml:space="preserve">联系人：      </w:t>
      </w:r>
    </w:p>
    <w:p w14:paraId="3875680F">
      <w:pPr>
        <w:ind w:firstLine="560"/>
        <w:jc w:val="left"/>
        <w:rPr>
          <w:rFonts w:ascii="Times New Roman"/>
          <w:color w:val="auto"/>
          <w:highlight w:val="none"/>
        </w:rPr>
      </w:pPr>
      <w:r>
        <w:rPr>
          <w:rFonts w:hint="eastAsia" w:ascii="Times New Roman"/>
          <w:color w:val="auto"/>
          <w:highlight w:val="none"/>
        </w:rPr>
        <w:t>联系电话：</w:t>
      </w:r>
    </w:p>
    <w:p w14:paraId="6A0AF2B9">
      <w:pPr>
        <w:ind w:firstLine="560"/>
        <w:jc w:val="left"/>
        <w:rPr>
          <w:rFonts w:ascii="Times New Roman" w:hAnsi="Times New Roman"/>
          <w:color w:val="auto"/>
          <w:szCs w:val="28"/>
          <w:highlight w:val="none"/>
        </w:rPr>
      </w:pPr>
      <w:r>
        <w:rPr>
          <w:rFonts w:ascii="Times New Roman" w:hAnsi="Times New Roman"/>
          <w:color w:val="auto"/>
          <w:szCs w:val="28"/>
          <w:highlight w:val="none"/>
        </w:rPr>
        <w:t>鉴于乙方具有网络安全等级保护测评资质，甲方委托乙方提供</w:t>
      </w:r>
      <w:r>
        <w:rPr>
          <w:rFonts w:hint="eastAsia" w:ascii="Times New Roman" w:hAnsi="Times New Roman"/>
          <w:color w:val="auto"/>
          <w:szCs w:val="20"/>
          <w:highlight w:val="none"/>
        </w:rPr>
        <w:t>华龙网门户网站、</w:t>
      </w:r>
      <w:r>
        <w:rPr>
          <w:rFonts w:ascii="Times New Roman" w:hAnsi="Times New Roman"/>
          <w:color w:val="auto"/>
          <w:szCs w:val="20"/>
          <w:highlight w:val="none"/>
        </w:rPr>
        <w:t xml:space="preserve">1+41 </w:t>
      </w:r>
      <w:r>
        <w:rPr>
          <w:rFonts w:hint="eastAsia" w:ascii="Times New Roman" w:hAnsi="Times New Roman"/>
          <w:color w:val="auto"/>
          <w:szCs w:val="20"/>
          <w:highlight w:val="none"/>
        </w:rPr>
        <w:t>客户端集群云平台、华龙芯智慧数字能力中台</w:t>
      </w:r>
      <w:r>
        <w:rPr>
          <w:rFonts w:ascii="Times New Roman" w:hAnsi="Times New Roman"/>
          <w:color w:val="auto"/>
          <w:szCs w:val="20"/>
          <w:highlight w:val="none"/>
        </w:rPr>
        <w:t xml:space="preserve"> 3 </w:t>
      </w:r>
      <w:r>
        <w:rPr>
          <w:rFonts w:hint="eastAsia" w:ascii="Times New Roman" w:hAnsi="Times New Roman"/>
          <w:color w:val="auto"/>
          <w:szCs w:val="20"/>
          <w:highlight w:val="none"/>
        </w:rPr>
        <w:t>套三级信息系统实施专项安全测评，排查系统安全隐患、出具合规测评报告，满足行业监管核查要求，保障核心业务系统平稳安全运行。</w:t>
      </w:r>
      <w:r>
        <w:rPr>
          <w:rFonts w:ascii="Times New Roman" w:hAnsi="Times New Roman"/>
          <w:color w:val="auto"/>
          <w:szCs w:val="28"/>
          <w:highlight w:val="none"/>
        </w:rPr>
        <w:t>经过友好协商，双方就此达成如下合同：</w:t>
      </w:r>
    </w:p>
    <w:p w14:paraId="5B7077E5">
      <w:pPr>
        <w:numPr>
          <w:ilvl w:val="255"/>
          <w:numId w:val="0"/>
        </w:numPr>
        <w:ind w:firstLine="560"/>
        <w:jc w:val="left"/>
        <w:rPr>
          <w:rFonts w:ascii="方正黑体_GBK" w:eastAsia="方正黑体_GBK"/>
          <w:color w:val="auto"/>
          <w:szCs w:val="28"/>
          <w:highlight w:val="none"/>
        </w:rPr>
      </w:pPr>
      <w:r>
        <w:rPr>
          <w:rFonts w:hint="eastAsia" w:ascii="方正黑体_GBK" w:eastAsia="方正黑体_GBK"/>
          <w:color w:val="auto"/>
          <w:szCs w:val="28"/>
          <w:highlight w:val="none"/>
        </w:rPr>
        <w:t>一、项目服务内容</w:t>
      </w:r>
    </w:p>
    <w:tbl>
      <w:tblPr>
        <w:tblStyle w:val="19"/>
        <w:tblW w:w="89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977"/>
        <w:gridCol w:w="4849"/>
        <w:gridCol w:w="829"/>
        <w:gridCol w:w="485"/>
      </w:tblGrid>
      <w:tr w14:paraId="610A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813" w:type="dxa"/>
            <w:shd w:val="clear" w:color="auto" w:fill="D7D7D7" w:themeFill="background1" w:themeFillShade="D8"/>
            <w:vAlign w:val="center"/>
          </w:tcPr>
          <w:p w14:paraId="5D3E5B90">
            <w:pPr>
              <w:widowControl/>
              <w:spacing w:line="400" w:lineRule="exact"/>
              <w:ind w:firstLine="0" w:firstLineChars="0"/>
              <w:jc w:val="center"/>
              <w:rPr>
                <w:b/>
                <w:color w:val="auto"/>
                <w:sz w:val="24"/>
                <w:highlight w:val="none"/>
              </w:rPr>
            </w:pPr>
            <w:r>
              <w:rPr>
                <w:rFonts w:hint="eastAsia"/>
                <w:b/>
                <w:bCs/>
                <w:color w:val="auto"/>
                <w:kern w:val="0"/>
                <w:sz w:val="24"/>
                <w:highlight w:val="none"/>
              </w:rPr>
              <w:t>项目名称</w:t>
            </w:r>
          </w:p>
        </w:tc>
        <w:tc>
          <w:tcPr>
            <w:tcW w:w="977" w:type="dxa"/>
            <w:shd w:val="clear" w:color="auto" w:fill="D7D7D7" w:themeFill="background1" w:themeFillShade="D8"/>
            <w:noWrap/>
            <w:vAlign w:val="center"/>
          </w:tcPr>
          <w:p w14:paraId="28A0300B">
            <w:pPr>
              <w:widowControl/>
              <w:spacing w:line="400" w:lineRule="exact"/>
              <w:ind w:firstLine="0" w:firstLineChars="0"/>
              <w:jc w:val="center"/>
              <w:rPr>
                <w:b/>
                <w:bCs/>
                <w:color w:val="auto"/>
                <w:kern w:val="0"/>
                <w:sz w:val="24"/>
                <w:highlight w:val="none"/>
              </w:rPr>
            </w:pPr>
            <w:r>
              <w:rPr>
                <w:rFonts w:hint="eastAsia"/>
                <w:b/>
                <w:bCs/>
                <w:color w:val="auto"/>
                <w:kern w:val="0"/>
                <w:sz w:val="24"/>
                <w:highlight w:val="none"/>
              </w:rPr>
              <w:t>细项</w:t>
            </w:r>
          </w:p>
          <w:p w14:paraId="0A4F7022">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序号</w:t>
            </w:r>
          </w:p>
        </w:tc>
        <w:tc>
          <w:tcPr>
            <w:tcW w:w="4849" w:type="dxa"/>
            <w:shd w:val="clear" w:color="auto" w:fill="D7D7D7" w:themeFill="background1" w:themeFillShade="D8"/>
            <w:noWrap/>
            <w:vAlign w:val="center"/>
          </w:tcPr>
          <w:p w14:paraId="121EF69E">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服务名称</w:t>
            </w:r>
          </w:p>
        </w:tc>
        <w:tc>
          <w:tcPr>
            <w:tcW w:w="829" w:type="dxa"/>
            <w:shd w:val="clear" w:color="auto" w:fill="D7D7D7" w:themeFill="background1" w:themeFillShade="D8"/>
            <w:noWrap/>
            <w:vAlign w:val="center"/>
          </w:tcPr>
          <w:p w14:paraId="6EFA453E">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单位</w:t>
            </w:r>
          </w:p>
        </w:tc>
        <w:tc>
          <w:tcPr>
            <w:tcW w:w="485" w:type="dxa"/>
            <w:shd w:val="clear" w:color="auto" w:fill="D7D7D7" w:themeFill="background1" w:themeFillShade="D8"/>
            <w:noWrap/>
            <w:vAlign w:val="center"/>
          </w:tcPr>
          <w:p w14:paraId="1B9EDDEE">
            <w:pPr>
              <w:widowControl/>
              <w:spacing w:line="400" w:lineRule="exact"/>
              <w:ind w:firstLine="0" w:firstLineChars="0"/>
              <w:jc w:val="center"/>
              <w:rPr>
                <w:color w:val="auto"/>
                <w:sz w:val="22"/>
                <w:szCs w:val="18"/>
                <w:highlight w:val="none"/>
              </w:rPr>
            </w:pPr>
            <w:r>
              <w:rPr>
                <w:rFonts w:hint="eastAsia"/>
                <w:b/>
                <w:bCs/>
                <w:color w:val="auto"/>
                <w:kern w:val="0"/>
                <w:sz w:val="24"/>
                <w:highlight w:val="none"/>
              </w:rPr>
              <w:t>数量</w:t>
            </w:r>
          </w:p>
        </w:tc>
      </w:tr>
      <w:tr w14:paraId="0EC5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restart"/>
            <w:shd w:val="clear" w:color="auto" w:fill="auto"/>
            <w:vAlign w:val="center"/>
          </w:tcPr>
          <w:p w14:paraId="3F6AB620">
            <w:pPr>
              <w:widowControl/>
              <w:ind w:firstLine="0" w:firstLineChars="0"/>
              <w:jc w:val="left"/>
              <w:rPr>
                <w:b/>
                <w:color w:val="auto"/>
                <w:szCs w:val="28"/>
                <w:highlight w:val="none"/>
              </w:rPr>
            </w:pPr>
            <w:r>
              <w:rPr>
                <w:rFonts w:hint="eastAsia"/>
                <w:b/>
                <w:bCs/>
                <w:color w:val="auto"/>
                <w:szCs w:val="28"/>
                <w:highlight w:val="none"/>
              </w:rPr>
              <w:t>2026年华龙网信息安全服务</w:t>
            </w:r>
          </w:p>
        </w:tc>
        <w:tc>
          <w:tcPr>
            <w:tcW w:w="977" w:type="dxa"/>
            <w:shd w:val="clear" w:color="auto" w:fill="auto"/>
            <w:noWrap/>
            <w:vAlign w:val="center"/>
          </w:tcPr>
          <w:p w14:paraId="5114A1B0">
            <w:pPr>
              <w:widowControl/>
              <w:spacing w:line="400" w:lineRule="exact"/>
              <w:ind w:firstLine="0" w:firstLineChars="0"/>
              <w:jc w:val="center"/>
              <w:rPr>
                <w:color w:val="auto"/>
                <w:sz w:val="24"/>
                <w:highlight w:val="none"/>
              </w:rPr>
            </w:pPr>
            <w:r>
              <w:rPr>
                <w:rFonts w:hint="eastAsia"/>
                <w:color w:val="auto"/>
                <w:sz w:val="24"/>
                <w:highlight w:val="none"/>
              </w:rPr>
              <w:t>1</w:t>
            </w:r>
          </w:p>
        </w:tc>
        <w:tc>
          <w:tcPr>
            <w:tcW w:w="4849" w:type="dxa"/>
            <w:shd w:val="clear" w:color="auto" w:fill="auto"/>
            <w:noWrap/>
            <w:vAlign w:val="center"/>
          </w:tcPr>
          <w:p w14:paraId="267D7B76">
            <w:pPr>
              <w:widowControl/>
              <w:spacing w:line="400" w:lineRule="exact"/>
              <w:ind w:firstLine="0" w:firstLineChars="0"/>
              <w:jc w:val="left"/>
              <w:rPr>
                <w:color w:val="auto"/>
                <w:sz w:val="24"/>
                <w:highlight w:val="none"/>
              </w:rPr>
            </w:pPr>
            <w:r>
              <w:rPr>
                <w:rFonts w:hint="eastAsia"/>
                <w:color w:val="auto"/>
                <w:sz w:val="24"/>
                <w:highlight w:val="none"/>
              </w:rPr>
              <w:t>门户网站系统三级等级保护测评</w:t>
            </w:r>
          </w:p>
        </w:tc>
        <w:tc>
          <w:tcPr>
            <w:tcW w:w="829" w:type="dxa"/>
            <w:shd w:val="clear" w:color="auto" w:fill="auto"/>
            <w:noWrap/>
            <w:vAlign w:val="center"/>
          </w:tcPr>
          <w:p w14:paraId="2A46C6F5">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36739CAE">
            <w:pPr>
              <w:widowControl/>
              <w:spacing w:line="400" w:lineRule="exact"/>
              <w:ind w:firstLine="0" w:firstLineChars="0"/>
              <w:jc w:val="center"/>
              <w:rPr>
                <w:color w:val="auto"/>
                <w:sz w:val="24"/>
                <w:highlight w:val="none"/>
              </w:rPr>
            </w:pPr>
            <w:r>
              <w:rPr>
                <w:rFonts w:hint="eastAsia"/>
                <w:color w:val="auto"/>
                <w:sz w:val="24"/>
                <w:highlight w:val="none"/>
              </w:rPr>
              <w:t>1</w:t>
            </w:r>
          </w:p>
        </w:tc>
      </w:tr>
      <w:tr w14:paraId="567E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3" w:hRule="atLeast"/>
        </w:trPr>
        <w:tc>
          <w:tcPr>
            <w:tcW w:w="1813" w:type="dxa"/>
            <w:vMerge w:val="continue"/>
            <w:vAlign w:val="center"/>
          </w:tcPr>
          <w:p w14:paraId="34F5AEDA">
            <w:pPr>
              <w:widowControl/>
              <w:ind w:firstLine="0" w:firstLineChars="0"/>
              <w:jc w:val="center"/>
              <w:rPr>
                <w:b/>
                <w:bCs/>
                <w:color w:val="auto"/>
                <w:kern w:val="0"/>
                <w:sz w:val="24"/>
                <w:highlight w:val="none"/>
              </w:rPr>
            </w:pPr>
          </w:p>
        </w:tc>
        <w:tc>
          <w:tcPr>
            <w:tcW w:w="977" w:type="dxa"/>
            <w:shd w:val="clear" w:color="auto" w:fill="auto"/>
            <w:noWrap/>
            <w:vAlign w:val="center"/>
          </w:tcPr>
          <w:p w14:paraId="76C18950">
            <w:pPr>
              <w:widowControl/>
              <w:spacing w:line="400" w:lineRule="exact"/>
              <w:ind w:firstLine="0" w:firstLineChars="0"/>
              <w:jc w:val="center"/>
              <w:rPr>
                <w:color w:val="auto"/>
                <w:sz w:val="24"/>
                <w:highlight w:val="none"/>
              </w:rPr>
            </w:pPr>
            <w:r>
              <w:rPr>
                <w:rFonts w:hint="eastAsia"/>
                <w:color w:val="auto"/>
                <w:sz w:val="24"/>
                <w:highlight w:val="none"/>
              </w:rPr>
              <w:t>2</w:t>
            </w:r>
          </w:p>
        </w:tc>
        <w:tc>
          <w:tcPr>
            <w:tcW w:w="4849" w:type="dxa"/>
            <w:shd w:val="clear" w:color="auto" w:fill="auto"/>
            <w:noWrap/>
            <w:vAlign w:val="center"/>
          </w:tcPr>
          <w:p w14:paraId="46E22610">
            <w:pPr>
              <w:widowControl/>
              <w:spacing w:line="400" w:lineRule="exact"/>
              <w:ind w:firstLine="0" w:firstLineChars="0"/>
              <w:jc w:val="left"/>
              <w:rPr>
                <w:color w:val="auto"/>
                <w:sz w:val="24"/>
                <w:highlight w:val="none"/>
              </w:rPr>
            </w:pPr>
            <w:r>
              <w:rPr>
                <w:rFonts w:hint="eastAsia"/>
                <w:color w:val="auto"/>
                <w:sz w:val="24"/>
                <w:highlight w:val="none"/>
              </w:rPr>
              <w:t>门户网站系统渗透测试服务</w:t>
            </w:r>
          </w:p>
        </w:tc>
        <w:tc>
          <w:tcPr>
            <w:tcW w:w="829" w:type="dxa"/>
            <w:shd w:val="clear" w:color="auto" w:fill="auto"/>
            <w:noWrap/>
            <w:vAlign w:val="center"/>
          </w:tcPr>
          <w:p w14:paraId="08964563">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5CD11D35">
            <w:pPr>
              <w:widowControl/>
              <w:spacing w:line="400" w:lineRule="exact"/>
              <w:ind w:firstLine="0" w:firstLineChars="0"/>
              <w:jc w:val="center"/>
              <w:rPr>
                <w:color w:val="auto"/>
                <w:sz w:val="24"/>
                <w:highlight w:val="none"/>
              </w:rPr>
            </w:pPr>
            <w:r>
              <w:rPr>
                <w:rFonts w:hint="eastAsia"/>
                <w:color w:val="auto"/>
                <w:sz w:val="24"/>
                <w:highlight w:val="none"/>
              </w:rPr>
              <w:t>1</w:t>
            </w:r>
          </w:p>
        </w:tc>
      </w:tr>
      <w:tr w14:paraId="2937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813" w:type="dxa"/>
            <w:vMerge w:val="continue"/>
            <w:vAlign w:val="center"/>
          </w:tcPr>
          <w:p w14:paraId="4AEC3CC3">
            <w:pPr>
              <w:widowControl/>
              <w:ind w:firstLine="0" w:firstLineChars="0"/>
              <w:jc w:val="center"/>
              <w:rPr>
                <w:b/>
                <w:bCs/>
                <w:color w:val="auto"/>
                <w:kern w:val="0"/>
                <w:sz w:val="24"/>
                <w:highlight w:val="none"/>
              </w:rPr>
            </w:pPr>
          </w:p>
        </w:tc>
        <w:tc>
          <w:tcPr>
            <w:tcW w:w="977" w:type="dxa"/>
            <w:shd w:val="clear" w:color="auto" w:fill="auto"/>
            <w:noWrap/>
            <w:vAlign w:val="center"/>
          </w:tcPr>
          <w:p w14:paraId="0CB08659">
            <w:pPr>
              <w:widowControl/>
              <w:spacing w:line="400" w:lineRule="exact"/>
              <w:ind w:firstLine="0" w:firstLineChars="0"/>
              <w:jc w:val="center"/>
              <w:rPr>
                <w:color w:val="auto"/>
                <w:sz w:val="24"/>
                <w:highlight w:val="none"/>
              </w:rPr>
            </w:pPr>
            <w:r>
              <w:rPr>
                <w:rFonts w:hint="eastAsia"/>
                <w:color w:val="auto"/>
                <w:sz w:val="24"/>
                <w:highlight w:val="none"/>
              </w:rPr>
              <w:t>3</w:t>
            </w:r>
          </w:p>
        </w:tc>
        <w:tc>
          <w:tcPr>
            <w:tcW w:w="4849" w:type="dxa"/>
            <w:shd w:val="clear" w:color="auto" w:fill="auto"/>
            <w:noWrap/>
            <w:vAlign w:val="center"/>
          </w:tcPr>
          <w:p w14:paraId="1303DCD5">
            <w:pPr>
              <w:widowControl/>
              <w:spacing w:line="400" w:lineRule="exact"/>
              <w:ind w:firstLine="0" w:firstLineChars="0"/>
              <w:jc w:val="left"/>
              <w:rPr>
                <w:color w:val="auto"/>
                <w:sz w:val="24"/>
                <w:highlight w:val="none"/>
              </w:rPr>
            </w:pPr>
            <w:r>
              <w:rPr>
                <w:rFonts w:hint="eastAsia"/>
                <w:color w:val="auto"/>
                <w:sz w:val="24"/>
                <w:highlight w:val="none"/>
              </w:rPr>
              <w:t>门户网站安全巡检及安全扫描服务</w:t>
            </w:r>
          </w:p>
        </w:tc>
        <w:tc>
          <w:tcPr>
            <w:tcW w:w="829" w:type="dxa"/>
            <w:shd w:val="clear" w:color="auto" w:fill="auto"/>
            <w:noWrap/>
            <w:vAlign w:val="center"/>
          </w:tcPr>
          <w:p w14:paraId="0A3DBBF5">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0C08B870">
            <w:pPr>
              <w:widowControl/>
              <w:spacing w:line="400" w:lineRule="exact"/>
              <w:ind w:firstLine="0" w:firstLineChars="0"/>
              <w:jc w:val="center"/>
              <w:rPr>
                <w:color w:val="auto"/>
                <w:sz w:val="24"/>
                <w:highlight w:val="none"/>
              </w:rPr>
            </w:pPr>
            <w:r>
              <w:rPr>
                <w:rFonts w:hint="eastAsia"/>
                <w:color w:val="auto"/>
                <w:sz w:val="24"/>
                <w:highlight w:val="none"/>
              </w:rPr>
              <w:t>4</w:t>
            </w:r>
          </w:p>
        </w:tc>
      </w:tr>
      <w:tr w14:paraId="1882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813" w:type="dxa"/>
            <w:vMerge w:val="continue"/>
            <w:vAlign w:val="center"/>
          </w:tcPr>
          <w:p w14:paraId="0D2661FF">
            <w:pPr>
              <w:widowControl/>
              <w:ind w:firstLine="0" w:firstLineChars="0"/>
              <w:jc w:val="center"/>
              <w:rPr>
                <w:b/>
                <w:bCs/>
                <w:color w:val="auto"/>
                <w:kern w:val="0"/>
                <w:sz w:val="24"/>
                <w:highlight w:val="none"/>
              </w:rPr>
            </w:pPr>
          </w:p>
        </w:tc>
        <w:tc>
          <w:tcPr>
            <w:tcW w:w="977" w:type="dxa"/>
            <w:shd w:val="clear" w:color="auto" w:fill="auto"/>
            <w:noWrap/>
            <w:vAlign w:val="center"/>
          </w:tcPr>
          <w:p w14:paraId="7ADAC832">
            <w:pPr>
              <w:widowControl/>
              <w:spacing w:line="400" w:lineRule="exact"/>
              <w:ind w:firstLine="0" w:firstLineChars="0"/>
              <w:jc w:val="center"/>
              <w:rPr>
                <w:color w:val="auto"/>
                <w:sz w:val="24"/>
                <w:highlight w:val="none"/>
              </w:rPr>
            </w:pPr>
            <w:r>
              <w:rPr>
                <w:rFonts w:hint="eastAsia"/>
                <w:color w:val="auto"/>
                <w:sz w:val="24"/>
                <w:highlight w:val="none"/>
              </w:rPr>
              <w:t>4</w:t>
            </w:r>
          </w:p>
        </w:tc>
        <w:tc>
          <w:tcPr>
            <w:tcW w:w="4849" w:type="dxa"/>
            <w:shd w:val="clear" w:color="auto" w:fill="auto"/>
            <w:noWrap/>
            <w:vAlign w:val="center"/>
          </w:tcPr>
          <w:p w14:paraId="25975365">
            <w:pPr>
              <w:widowControl/>
              <w:spacing w:line="400" w:lineRule="exact"/>
              <w:ind w:firstLine="0" w:firstLineChars="0"/>
              <w:jc w:val="left"/>
              <w:rPr>
                <w:color w:val="auto"/>
                <w:sz w:val="24"/>
                <w:highlight w:val="none"/>
              </w:rPr>
            </w:pPr>
            <w:r>
              <w:rPr>
                <w:rFonts w:hint="eastAsia"/>
                <w:color w:val="auto"/>
                <w:sz w:val="24"/>
                <w:highlight w:val="none"/>
              </w:rPr>
              <w:t>门户网站系统安全评估服务</w:t>
            </w:r>
          </w:p>
        </w:tc>
        <w:tc>
          <w:tcPr>
            <w:tcW w:w="829" w:type="dxa"/>
            <w:shd w:val="clear" w:color="auto" w:fill="auto"/>
            <w:noWrap/>
            <w:vAlign w:val="center"/>
          </w:tcPr>
          <w:p w14:paraId="348830E2">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241E0CDF">
            <w:pPr>
              <w:widowControl/>
              <w:spacing w:line="400" w:lineRule="exact"/>
              <w:ind w:firstLine="0" w:firstLineChars="0"/>
              <w:jc w:val="center"/>
              <w:rPr>
                <w:color w:val="auto"/>
                <w:sz w:val="24"/>
                <w:highlight w:val="none"/>
              </w:rPr>
            </w:pPr>
            <w:r>
              <w:rPr>
                <w:rFonts w:hint="eastAsia"/>
                <w:color w:val="auto"/>
                <w:sz w:val="24"/>
                <w:highlight w:val="none"/>
              </w:rPr>
              <w:t>1</w:t>
            </w:r>
          </w:p>
        </w:tc>
      </w:tr>
      <w:tr w14:paraId="0AD0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813" w:type="dxa"/>
            <w:vMerge w:val="continue"/>
            <w:vAlign w:val="center"/>
          </w:tcPr>
          <w:p w14:paraId="5B182955">
            <w:pPr>
              <w:widowControl/>
              <w:ind w:firstLine="0" w:firstLineChars="0"/>
              <w:jc w:val="center"/>
              <w:rPr>
                <w:b/>
                <w:bCs/>
                <w:color w:val="auto"/>
                <w:kern w:val="0"/>
                <w:sz w:val="24"/>
                <w:highlight w:val="none"/>
              </w:rPr>
            </w:pPr>
          </w:p>
        </w:tc>
        <w:tc>
          <w:tcPr>
            <w:tcW w:w="977" w:type="dxa"/>
            <w:shd w:val="clear" w:color="auto" w:fill="auto"/>
            <w:noWrap/>
            <w:vAlign w:val="center"/>
          </w:tcPr>
          <w:p w14:paraId="2F5755C6">
            <w:pPr>
              <w:widowControl/>
              <w:spacing w:line="400" w:lineRule="exact"/>
              <w:ind w:firstLine="0" w:firstLineChars="0"/>
              <w:jc w:val="center"/>
              <w:rPr>
                <w:color w:val="auto"/>
                <w:sz w:val="24"/>
                <w:highlight w:val="none"/>
              </w:rPr>
            </w:pPr>
            <w:r>
              <w:rPr>
                <w:rFonts w:hint="eastAsia"/>
                <w:color w:val="auto"/>
                <w:sz w:val="24"/>
                <w:highlight w:val="none"/>
              </w:rPr>
              <w:t>5</w:t>
            </w:r>
          </w:p>
        </w:tc>
        <w:tc>
          <w:tcPr>
            <w:tcW w:w="4849" w:type="dxa"/>
            <w:shd w:val="clear" w:color="auto" w:fill="auto"/>
            <w:noWrap/>
            <w:vAlign w:val="center"/>
          </w:tcPr>
          <w:p w14:paraId="345129C7">
            <w:pPr>
              <w:widowControl/>
              <w:spacing w:line="400" w:lineRule="exact"/>
              <w:ind w:firstLine="0" w:firstLineChars="0"/>
              <w:jc w:val="left"/>
              <w:rPr>
                <w:color w:val="auto"/>
                <w:sz w:val="24"/>
                <w:highlight w:val="none"/>
              </w:rPr>
            </w:pPr>
            <w:r>
              <w:rPr>
                <w:rFonts w:hint="eastAsia"/>
                <w:color w:val="auto"/>
                <w:sz w:val="24"/>
                <w:highlight w:val="none"/>
              </w:rPr>
              <w:t>网站监测预警</w:t>
            </w:r>
          </w:p>
        </w:tc>
        <w:tc>
          <w:tcPr>
            <w:tcW w:w="829" w:type="dxa"/>
            <w:shd w:val="clear" w:color="auto" w:fill="auto"/>
            <w:noWrap/>
            <w:vAlign w:val="center"/>
          </w:tcPr>
          <w:p w14:paraId="15F53B64">
            <w:pPr>
              <w:widowControl/>
              <w:spacing w:line="400" w:lineRule="exact"/>
              <w:ind w:firstLine="0" w:firstLineChars="0"/>
              <w:jc w:val="center"/>
              <w:rPr>
                <w:color w:val="auto"/>
                <w:sz w:val="24"/>
                <w:highlight w:val="none"/>
              </w:rPr>
            </w:pPr>
            <w:r>
              <w:rPr>
                <w:rFonts w:hint="eastAsia"/>
                <w:color w:val="auto"/>
                <w:sz w:val="24"/>
                <w:highlight w:val="none"/>
                <w:lang w:val="en-US" w:eastAsia="zh-CN"/>
              </w:rPr>
              <w:t>月</w:t>
            </w:r>
          </w:p>
        </w:tc>
        <w:tc>
          <w:tcPr>
            <w:tcW w:w="485" w:type="dxa"/>
            <w:shd w:val="clear" w:color="auto" w:fill="auto"/>
            <w:noWrap/>
            <w:vAlign w:val="center"/>
          </w:tcPr>
          <w:p w14:paraId="03D0B1ED">
            <w:pPr>
              <w:widowControl/>
              <w:spacing w:line="400" w:lineRule="exact"/>
              <w:ind w:firstLine="0" w:firstLineChars="0"/>
              <w:jc w:val="center"/>
              <w:rPr>
                <w:color w:val="auto"/>
                <w:sz w:val="24"/>
                <w:highlight w:val="none"/>
              </w:rPr>
            </w:pPr>
            <w:r>
              <w:rPr>
                <w:rFonts w:hint="eastAsia"/>
                <w:color w:val="auto"/>
                <w:sz w:val="24"/>
                <w:highlight w:val="none"/>
                <w:lang w:val="en-US" w:eastAsia="zh-CN"/>
              </w:rPr>
              <w:t>12</w:t>
            </w:r>
          </w:p>
        </w:tc>
      </w:tr>
      <w:tr w14:paraId="4A84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813" w:type="dxa"/>
            <w:vMerge w:val="continue"/>
            <w:vAlign w:val="center"/>
          </w:tcPr>
          <w:p w14:paraId="72F09866">
            <w:pPr>
              <w:widowControl/>
              <w:ind w:firstLine="0" w:firstLineChars="0"/>
              <w:jc w:val="center"/>
              <w:rPr>
                <w:b/>
                <w:bCs/>
                <w:color w:val="auto"/>
                <w:kern w:val="0"/>
                <w:sz w:val="24"/>
                <w:highlight w:val="none"/>
              </w:rPr>
            </w:pPr>
          </w:p>
        </w:tc>
        <w:tc>
          <w:tcPr>
            <w:tcW w:w="977" w:type="dxa"/>
            <w:shd w:val="clear" w:color="auto" w:fill="auto"/>
            <w:noWrap/>
            <w:vAlign w:val="center"/>
          </w:tcPr>
          <w:p w14:paraId="12C9070A">
            <w:pPr>
              <w:widowControl/>
              <w:spacing w:line="400" w:lineRule="exact"/>
              <w:ind w:firstLine="0" w:firstLineChars="0"/>
              <w:jc w:val="center"/>
              <w:rPr>
                <w:color w:val="auto"/>
                <w:sz w:val="24"/>
                <w:highlight w:val="none"/>
              </w:rPr>
            </w:pPr>
            <w:r>
              <w:rPr>
                <w:rFonts w:hint="eastAsia"/>
                <w:color w:val="auto"/>
                <w:sz w:val="24"/>
                <w:highlight w:val="none"/>
              </w:rPr>
              <w:t>6</w:t>
            </w:r>
          </w:p>
        </w:tc>
        <w:tc>
          <w:tcPr>
            <w:tcW w:w="4849" w:type="dxa"/>
            <w:shd w:val="clear" w:color="auto" w:fill="auto"/>
            <w:noWrap/>
            <w:vAlign w:val="center"/>
          </w:tcPr>
          <w:p w14:paraId="5E4C446C">
            <w:pPr>
              <w:widowControl/>
              <w:spacing w:line="400" w:lineRule="exact"/>
              <w:ind w:firstLine="0" w:firstLineChars="0"/>
              <w:jc w:val="left"/>
              <w:rPr>
                <w:color w:val="auto"/>
                <w:sz w:val="24"/>
                <w:highlight w:val="none"/>
              </w:rPr>
            </w:pPr>
            <w:r>
              <w:rPr>
                <w:rFonts w:hint="eastAsia"/>
                <w:color w:val="auto"/>
                <w:sz w:val="24"/>
                <w:highlight w:val="none"/>
              </w:rPr>
              <w:t>1+41重庆客户端集群云平台三级等级保护测评服务</w:t>
            </w:r>
          </w:p>
        </w:tc>
        <w:tc>
          <w:tcPr>
            <w:tcW w:w="829" w:type="dxa"/>
            <w:shd w:val="clear" w:color="auto" w:fill="auto"/>
            <w:noWrap/>
            <w:vAlign w:val="center"/>
          </w:tcPr>
          <w:p w14:paraId="7A0A1813">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24F0FB2C">
            <w:pPr>
              <w:widowControl/>
              <w:spacing w:line="400" w:lineRule="exact"/>
              <w:ind w:firstLine="0" w:firstLineChars="0"/>
              <w:jc w:val="center"/>
              <w:rPr>
                <w:color w:val="auto"/>
                <w:sz w:val="24"/>
                <w:highlight w:val="none"/>
              </w:rPr>
            </w:pPr>
            <w:r>
              <w:rPr>
                <w:rFonts w:hint="eastAsia"/>
                <w:color w:val="auto"/>
                <w:sz w:val="24"/>
                <w:highlight w:val="none"/>
              </w:rPr>
              <w:t>1</w:t>
            </w:r>
          </w:p>
        </w:tc>
      </w:tr>
      <w:tr w14:paraId="42A5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813" w:type="dxa"/>
            <w:vMerge w:val="continue"/>
            <w:vAlign w:val="center"/>
          </w:tcPr>
          <w:p w14:paraId="36156D05">
            <w:pPr>
              <w:widowControl/>
              <w:ind w:firstLine="0" w:firstLineChars="0"/>
              <w:jc w:val="center"/>
              <w:rPr>
                <w:b/>
                <w:bCs/>
                <w:color w:val="auto"/>
                <w:kern w:val="0"/>
                <w:sz w:val="24"/>
                <w:highlight w:val="none"/>
              </w:rPr>
            </w:pPr>
          </w:p>
        </w:tc>
        <w:tc>
          <w:tcPr>
            <w:tcW w:w="977" w:type="dxa"/>
            <w:shd w:val="clear" w:color="auto" w:fill="auto"/>
            <w:noWrap/>
            <w:vAlign w:val="center"/>
          </w:tcPr>
          <w:p w14:paraId="36C3870F">
            <w:pPr>
              <w:widowControl/>
              <w:spacing w:line="400" w:lineRule="exact"/>
              <w:ind w:firstLine="0" w:firstLineChars="0"/>
              <w:jc w:val="center"/>
              <w:rPr>
                <w:color w:val="auto"/>
                <w:sz w:val="24"/>
                <w:highlight w:val="none"/>
              </w:rPr>
            </w:pPr>
            <w:r>
              <w:rPr>
                <w:rFonts w:hint="eastAsia"/>
                <w:color w:val="auto"/>
                <w:sz w:val="24"/>
                <w:highlight w:val="none"/>
              </w:rPr>
              <w:t>7</w:t>
            </w:r>
          </w:p>
        </w:tc>
        <w:tc>
          <w:tcPr>
            <w:tcW w:w="4849" w:type="dxa"/>
            <w:shd w:val="clear" w:color="auto" w:fill="auto"/>
            <w:noWrap/>
            <w:vAlign w:val="center"/>
          </w:tcPr>
          <w:p w14:paraId="34D26154">
            <w:pPr>
              <w:widowControl/>
              <w:spacing w:line="400" w:lineRule="exact"/>
              <w:ind w:firstLine="0" w:firstLineChars="0"/>
              <w:jc w:val="left"/>
              <w:rPr>
                <w:color w:val="auto"/>
                <w:sz w:val="24"/>
                <w:highlight w:val="none"/>
              </w:rPr>
            </w:pPr>
            <w:r>
              <w:rPr>
                <w:rFonts w:hint="eastAsia"/>
                <w:color w:val="auto"/>
                <w:sz w:val="24"/>
                <w:highlight w:val="none"/>
              </w:rPr>
              <w:t>1+41重庆客户端集群云平台渗透测试服务</w:t>
            </w:r>
          </w:p>
        </w:tc>
        <w:tc>
          <w:tcPr>
            <w:tcW w:w="829" w:type="dxa"/>
            <w:shd w:val="clear" w:color="auto" w:fill="auto"/>
            <w:noWrap/>
            <w:vAlign w:val="center"/>
          </w:tcPr>
          <w:p w14:paraId="642CEFFE">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7962023D">
            <w:pPr>
              <w:widowControl/>
              <w:spacing w:line="400" w:lineRule="exact"/>
              <w:ind w:firstLine="0" w:firstLineChars="0"/>
              <w:jc w:val="center"/>
              <w:rPr>
                <w:color w:val="auto"/>
                <w:sz w:val="24"/>
                <w:highlight w:val="none"/>
              </w:rPr>
            </w:pPr>
            <w:r>
              <w:rPr>
                <w:rFonts w:hint="eastAsia"/>
                <w:color w:val="auto"/>
                <w:sz w:val="24"/>
                <w:highlight w:val="none"/>
              </w:rPr>
              <w:t>1</w:t>
            </w:r>
          </w:p>
        </w:tc>
      </w:tr>
      <w:tr w14:paraId="77D8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813" w:type="dxa"/>
            <w:vMerge w:val="continue"/>
            <w:vAlign w:val="center"/>
          </w:tcPr>
          <w:p w14:paraId="5C29F299">
            <w:pPr>
              <w:widowControl/>
              <w:ind w:firstLine="0" w:firstLineChars="0"/>
              <w:jc w:val="center"/>
              <w:rPr>
                <w:b/>
                <w:bCs/>
                <w:color w:val="auto"/>
                <w:kern w:val="0"/>
                <w:sz w:val="24"/>
                <w:highlight w:val="none"/>
              </w:rPr>
            </w:pPr>
          </w:p>
        </w:tc>
        <w:tc>
          <w:tcPr>
            <w:tcW w:w="977" w:type="dxa"/>
            <w:shd w:val="clear" w:color="auto" w:fill="auto"/>
            <w:noWrap/>
            <w:vAlign w:val="center"/>
          </w:tcPr>
          <w:p w14:paraId="47206A08">
            <w:pPr>
              <w:widowControl/>
              <w:spacing w:line="400" w:lineRule="exact"/>
              <w:ind w:firstLine="0" w:firstLineChars="0"/>
              <w:jc w:val="center"/>
              <w:rPr>
                <w:color w:val="auto"/>
                <w:sz w:val="24"/>
                <w:highlight w:val="none"/>
              </w:rPr>
            </w:pPr>
            <w:r>
              <w:rPr>
                <w:rFonts w:hint="eastAsia"/>
                <w:color w:val="auto"/>
                <w:sz w:val="24"/>
                <w:highlight w:val="none"/>
              </w:rPr>
              <w:t>8</w:t>
            </w:r>
          </w:p>
        </w:tc>
        <w:tc>
          <w:tcPr>
            <w:tcW w:w="4849" w:type="dxa"/>
            <w:shd w:val="clear" w:color="auto" w:fill="auto"/>
            <w:noWrap/>
            <w:vAlign w:val="center"/>
          </w:tcPr>
          <w:p w14:paraId="18D7AA6D">
            <w:pPr>
              <w:widowControl/>
              <w:spacing w:line="400" w:lineRule="exact"/>
              <w:ind w:firstLine="0" w:firstLineChars="0"/>
              <w:jc w:val="left"/>
              <w:rPr>
                <w:color w:val="auto"/>
                <w:sz w:val="24"/>
                <w:highlight w:val="none"/>
              </w:rPr>
            </w:pPr>
            <w:r>
              <w:rPr>
                <w:rFonts w:hint="eastAsia"/>
                <w:color w:val="auto"/>
                <w:sz w:val="24"/>
                <w:highlight w:val="none"/>
              </w:rPr>
              <w:t>1+41重庆客户端集群云平台安全评估服务</w:t>
            </w:r>
          </w:p>
        </w:tc>
        <w:tc>
          <w:tcPr>
            <w:tcW w:w="829" w:type="dxa"/>
            <w:shd w:val="clear" w:color="auto" w:fill="auto"/>
            <w:noWrap/>
            <w:vAlign w:val="center"/>
          </w:tcPr>
          <w:p w14:paraId="1740A32C">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1A4F06FF">
            <w:pPr>
              <w:widowControl/>
              <w:spacing w:line="400" w:lineRule="exact"/>
              <w:ind w:firstLine="0" w:firstLineChars="0"/>
              <w:jc w:val="center"/>
              <w:rPr>
                <w:color w:val="auto"/>
                <w:sz w:val="24"/>
                <w:highlight w:val="none"/>
              </w:rPr>
            </w:pPr>
            <w:r>
              <w:rPr>
                <w:rFonts w:hint="eastAsia"/>
                <w:color w:val="auto"/>
                <w:sz w:val="24"/>
                <w:highlight w:val="none"/>
              </w:rPr>
              <w:t>1</w:t>
            </w:r>
          </w:p>
        </w:tc>
      </w:tr>
      <w:tr w14:paraId="658D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813" w:type="dxa"/>
            <w:vMerge w:val="continue"/>
            <w:vAlign w:val="center"/>
          </w:tcPr>
          <w:p w14:paraId="3A8E00E3">
            <w:pPr>
              <w:widowControl/>
              <w:ind w:firstLine="0" w:firstLineChars="0"/>
              <w:jc w:val="center"/>
              <w:rPr>
                <w:b/>
                <w:bCs/>
                <w:color w:val="auto"/>
                <w:kern w:val="0"/>
                <w:sz w:val="24"/>
                <w:highlight w:val="none"/>
              </w:rPr>
            </w:pPr>
          </w:p>
        </w:tc>
        <w:tc>
          <w:tcPr>
            <w:tcW w:w="977" w:type="dxa"/>
            <w:shd w:val="clear" w:color="auto" w:fill="auto"/>
            <w:noWrap/>
            <w:vAlign w:val="center"/>
          </w:tcPr>
          <w:p w14:paraId="4C42543B">
            <w:pPr>
              <w:widowControl/>
              <w:spacing w:line="400" w:lineRule="exact"/>
              <w:ind w:firstLine="0" w:firstLineChars="0"/>
              <w:jc w:val="center"/>
              <w:rPr>
                <w:color w:val="auto"/>
                <w:sz w:val="24"/>
                <w:highlight w:val="none"/>
              </w:rPr>
            </w:pPr>
            <w:r>
              <w:rPr>
                <w:rFonts w:hint="eastAsia"/>
                <w:color w:val="auto"/>
                <w:sz w:val="24"/>
                <w:highlight w:val="none"/>
              </w:rPr>
              <w:t>9</w:t>
            </w:r>
          </w:p>
        </w:tc>
        <w:tc>
          <w:tcPr>
            <w:tcW w:w="4849" w:type="dxa"/>
            <w:shd w:val="clear" w:color="auto" w:fill="auto"/>
            <w:noWrap/>
            <w:vAlign w:val="center"/>
          </w:tcPr>
          <w:p w14:paraId="55424E26">
            <w:pPr>
              <w:widowControl/>
              <w:spacing w:line="400" w:lineRule="exact"/>
              <w:ind w:firstLine="0" w:firstLineChars="0"/>
              <w:jc w:val="left"/>
              <w:rPr>
                <w:color w:val="auto"/>
                <w:sz w:val="24"/>
                <w:highlight w:val="none"/>
              </w:rPr>
            </w:pPr>
            <w:r>
              <w:rPr>
                <w:rFonts w:hint="eastAsia"/>
                <w:color w:val="auto"/>
                <w:sz w:val="24"/>
                <w:highlight w:val="none"/>
              </w:rPr>
              <w:t>华龙芯智慧数字能力中台三级等级保护测评服务</w:t>
            </w:r>
          </w:p>
        </w:tc>
        <w:tc>
          <w:tcPr>
            <w:tcW w:w="829" w:type="dxa"/>
            <w:shd w:val="clear" w:color="auto" w:fill="auto"/>
            <w:noWrap/>
            <w:vAlign w:val="center"/>
          </w:tcPr>
          <w:p w14:paraId="658DAEB5">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1070D019">
            <w:pPr>
              <w:widowControl/>
              <w:spacing w:line="400" w:lineRule="exact"/>
              <w:ind w:firstLine="0" w:firstLineChars="0"/>
              <w:jc w:val="center"/>
              <w:rPr>
                <w:color w:val="auto"/>
                <w:sz w:val="24"/>
                <w:highlight w:val="none"/>
              </w:rPr>
            </w:pPr>
            <w:r>
              <w:rPr>
                <w:rFonts w:hint="eastAsia"/>
                <w:color w:val="auto"/>
                <w:sz w:val="24"/>
                <w:highlight w:val="none"/>
              </w:rPr>
              <w:t>1</w:t>
            </w:r>
          </w:p>
        </w:tc>
      </w:tr>
      <w:tr w14:paraId="3CF0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813" w:type="dxa"/>
            <w:vMerge w:val="continue"/>
            <w:vAlign w:val="center"/>
          </w:tcPr>
          <w:p w14:paraId="74F7101A">
            <w:pPr>
              <w:widowControl/>
              <w:ind w:firstLine="0" w:firstLineChars="0"/>
              <w:jc w:val="center"/>
              <w:rPr>
                <w:b/>
                <w:bCs/>
                <w:color w:val="auto"/>
                <w:kern w:val="0"/>
                <w:sz w:val="24"/>
                <w:highlight w:val="none"/>
              </w:rPr>
            </w:pPr>
          </w:p>
        </w:tc>
        <w:tc>
          <w:tcPr>
            <w:tcW w:w="977" w:type="dxa"/>
            <w:shd w:val="clear" w:color="auto" w:fill="auto"/>
            <w:noWrap/>
            <w:vAlign w:val="center"/>
          </w:tcPr>
          <w:p w14:paraId="54FB15EA">
            <w:pPr>
              <w:widowControl/>
              <w:spacing w:line="400" w:lineRule="exact"/>
              <w:ind w:firstLine="0" w:firstLineChars="0"/>
              <w:jc w:val="center"/>
              <w:rPr>
                <w:color w:val="auto"/>
                <w:sz w:val="24"/>
                <w:highlight w:val="none"/>
              </w:rPr>
            </w:pPr>
            <w:r>
              <w:rPr>
                <w:rFonts w:hint="eastAsia"/>
                <w:color w:val="auto"/>
                <w:sz w:val="24"/>
                <w:highlight w:val="none"/>
              </w:rPr>
              <w:t>10</w:t>
            </w:r>
          </w:p>
        </w:tc>
        <w:tc>
          <w:tcPr>
            <w:tcW w:w="4849" w:type="dxa"/>
            <w:shd w:val="clear" w:color="auto" w:fill="auto"/>
            <w:noWrap/>
            <w:vAlign w:val="center"/>
          </w:tcPr>
          <w:p w14:paraId="71BA4009">
            <w:pPr>
              <w:widowControl/>
              <w:spacing w:line="400" w:lineRule="exact"/>
              <w:ind w:firstLine="0" w:firstLineChars="0"/>
              <w:jc w:val="left"/>
              <w:rPr>
                <w:color w:val="auto"/>
                <w:sz w:val="24"/>
                <w:highlight w:val="none"/>
              </w:rPr>
            </w:pPr>
            <w:r>
              <w:rPr>
                <w:rFonts w:hint="eastAsia"/>
                <w:color w:val="auto"/>
                <w:sz w:val="24"/>
                <w:highlight w:val="none"/>
              </w:rPr>
              <w:t>华龙芯智慧数字能力中台安全评估服务</w:t>
            </w:r>
          </w:p>
        </w:tc>
        <w:tc>
          <w:tcPr>
            <w:tcW w:w="829" w:type="dxa"/>
            <w:shd w:val="clear" w:color="auto" w:fill="auto"/>
            <w:noWrap/>
            <w:vAlign w:val="center"/>
          </w:tcPr>
          <w:p w14:paraId="375FD7EB">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0A539E69">
            <w:pPr>
              <w:widowControl/>
              <w:spacing w:line="400" w:lineRule="exact"/>
              <w:ind w:firstLine="0" w:firstLineChars="0"/>
              <w:jc w:val="center"/>
              <w:rPr>
                <w:color w:val="auto"/>
                <w:sz w:val="24"/>
                <w:highlight w:val="none"/>
              </w:rPr>
            </w:pPr>
            <w:r>
              <w:rPr>
                <w:rFonts w:hint="eastAsia"/>
                <w:color w:val="auto"/>
                <w:sz w:val="24"/>
                <w:highlight w:val="none"/>
              </w:rPr>
              <w:t>1</w:t>
            </w:r>
          </w:p>
        </w:tc>
      </w:tr>
      <w:tr w14:paraId="4CAF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813" w:type="dxa"/>
            <w:vMerge w:val="continue"/>
            <w:vAlign w:val="center"/>
          </w:tcPr>
          <w:p w14:paraId="000881A4">
            <w:pPr>
              <w:widowControl/>
              <w:ind w:firstLine="0" w:firstLineChars="0"/>
              <w:jc w:val="center"/>
              <w:rPr>
                <w:b/>
                <w:bCs/>
                <w:color w:val="auto"/>
                <w:kern w:val="0"/>
                <w:sz w:val="24"/>
                <w:highlight w:val="none"/>
              </w:rPr>
            </w:pPr>
          </w:p>
        </w:tc>
        <w:tc>
          <w:tcPr>
            <w:tcW w:w="977" w:type="dxa"/>
            <w:shd w:val="clear" w:color="auto" w:fill="auto"/>
            <w:noWrap/>
            <w:vAlign w:val="center"/>
          </w:tcPr>
          <w:p w14:paraId="671C395C">
            <w:pPr>
              <w:widowControl/>
              <w:spacing w:line="400" w:lineRule="exact"/>
              <w:ind w:firstLine="0" w:firstLineChars="0"/>
              <w:jc w:val="center"/>
              <w:rPr>
                <w:color w:val="auto"/>
                <w:sz w:val="24"/>
                <w:highlight w:val="none"/>
              </w:rPr>
            </w:pPr>
            <w:r>
              <w:rPr>
                <w:rFonts w:hint="eastAsia"/>
                <w:color w:val="auto"/>
                <w:sz w:val="24"/>
                <w:highlight w:val="none"/>
              </w:rPr>
              <w:t>11</w:t>
            </w:r>
          </w:p>
        </w:tc>
        <w:tc>
          <w:tcPr>
            <w:tcW w:w="4849" w:type="dxa"/>
            <w:shd w:val="clear" w:color="auto" w:fill="auto"/>
            <w:noWrap/>
            <w:vAlign w:val="center"/>
          </w:tcPr>
          <w:p w14:paraId="15C323F9">
            <w:pPr>
              <w:widowControl/>
              <w:spacing w:line="400" w:lineRule="exact"/>
              <w:ind w:firstLine="0" w:firstLineChars="0"/>
              <w:jc w:val="left"/>
              <w:rPr>
                <w:color w:val="auto"/>
                <w:sz w:val="24"/>
                <w:highlight w:val="none"/>
              </w:rPr>
            </w:pPr>
            <w:r>
              <w:rPr>
                <w:rFonts w:hint="eastAsia"/>
                <w:color w:val="auto"/>
                <w:sz w:val="24"/>
                <w:highlight w:val="none"/>
              </w:rPr>
              <w:t>华龙芯智慧数字能力中台渗透测试服务</w:t>
            </w:r>
          </w:p>
        </w:tc>
        <w:tc>
          <w:tcPr>
            <w:tcW w:w="829" w:type="dxa"/>
            <w:shd w:val="clear" w:color="auto" w:fill="auto"/>
            <w:noWrap/>
            <w:vAlign w:val="center"/>
          </w:tcPr>
          <w:p w14:paraId="3B89BE64">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5D1DDE7A">
            <w:pPr>
              <w:widowControl/>
              <w:spacing w:line="400" w:lineRule="exact"/>
              <w:ind w:firstLine="0" w:firstLineChars="0"/>
              <w:jc w:val="center"/>
              <w:rPr>
                <w:color w:val="auto"/>
                <w:sz w:val="24"/>
                <w:highlight w:val="none"/>
              </w:rPr>
            </w:pPr>
            <w:r>
              <w:rPr>
                <w:rFonts w:hint="eastAsia"/>
                <w:color w:val="auto"/>
                <w:sz w:val="24"/>
                <w:highlight w:val="none"/>
              </w:rPr>
              <w:t>1</w:t>
            </w:r>
          </w:p>
        </w:tc>
      </w:tr>
      <w:tr w14:paraId="51D1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813" w:type="dxa"/>
            <w:vMerge w:val="continue"/>
            <w:vAlign w:val="center"/>
          </w:tcPr>
          <w:p w14:paraId="386149BF">
            <w:pPr>
              <w:widowControl/>
              <w:ind w:firstLine="0" w:firstLineChars="0"/>
              <w:jc w:val="center"/>
              <w:rPr>
                <w:b/>
                <w:bCs/>
                <w:color w:val="auto"/>
                <w:kern w:val="0"/>
                <w:sz w:val="24"/>
                <w:highlight w:val="none"/>
              </w:rPr>
            </w:pPr>
          </w:p>
        </w:tc>
        <w:tc>
          <w:tcPr>
            <w:tcW w:w="977" w:type="dxa"/>
            <w:shd w:val="clear" w:color="auto" w:fill="auto"/>
            <w:noWrap/>
            <w:vAlign w:val="center"/>
          </w:tcPr>
          <w:p w14:paraId="2002F710">
            <w:pPr>
              <w:widowControl/>
              <w:spacing w:line="400" w:lineRule="exact"/>
              <w:ind w:firstLine="0" w:firstLineChars="0"/>
              <w:jc w:val="center"/>
              <w:rPr>
                <w:color w:val="auto"/>
                <w:sz w:val="24"/>
                <w:highlight w:val="none"/>
              </w:rPr>
            </w:pPr>
            <w:r>
              <w:rPr>
                <w:rFonts w:hint="eastAsia"/>
                <w:color w:val="auto"/>
                <w:sz w:val="24"/>
                <w:highlight w:val="none"/>
              </w:rPr>
              <w:t>12</w:t>
            </w:r>
          </w:p>
        </w:tc>
        <w:tc>
          <w:tcPr>
            <w:tcW w:w="4849" w:type="dxa"/>
            <w:shd w:val="clear" w:color="auto" w:fill="auto"/>
            <w:noWrap/>
            <w:vAlign w:val="center"/>
          </w:tcPr>
          <w:p w14:paraId="70296BFA">
            <w:pPr>
              <w:widowControl/>
              <w:spacing w:line="400" w:lineRule="exact"/>
              <w:ind w:firstLine="0" w:firstLineChars="0"/>
              <w:jc w:val="left"/>
              <w:rPr>
                <w:color w:val="auto"/>
                <w:sz w:val="24"/>
                <w:highlight w:val="none"/>
              </w:rPr>
            </w:pPr>
            <w:r>
              <w:rPr>
                <w:rFonts w:hint="eastAsia"/>
                <w:color w:val="auto"/>
                <w:sz w:val="24"/>
                <w:highlight w:val="none"/>
              </w:rPr>
              <w:t>事件应急响应服务</w:t>
            </w:r>
          </w:p>
        </w:tc>
        <w:tc>
          <w:tcPr>
            <w:tcW w:w="829" w:type="dxa"/>
            <w:shd w:val="clear" w:color="auto" w:fill="auto"/>
            <w:noWrap/>
            <w:vAlign w:val="center"/>
          </w:tcPr>
          <w:p w14:paraId="23423FF0">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2D550C32">
            <w:pPr>
              <w:widowControl/>
              <w:spacing w:line="400" w:lineRule="exact"/>
              <w:ind w:firstLine="0" w:firstLineChars="0"/>
              <w:jc w:val="center"/>
              <w:rPr>
                <w:color w:val="auto"/>
                <w:sz w:val="24"/>
                <w:highlight w:val="none"/>
              </w:rPr>
            </w:pPr>
            <w:r>
              <w:rPr>
                <w:rFonts w:hint="eastAsia"/>
                <w:color w:val="auto"/>
                <w:sz w:val="24"/>
                <w:highlight w:val="none"/>
              </w:rPr>
              <w:t>2</w:t>
            </w:r>
          </w:p>
        </w:tc>
      </w:tr>
      <w:tr w14:paraId="5BAA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813" w:type="dxa"/>
            <w:vAlign w:val="center"/>
          </w:tcPr>
          <w:p w14:paraId="7E78F30D">
            <w:pPr>
              <w:widowControl/>
              <w:ind w:firstLine="0" w:firstLineChars="0"/>
              <w:jc w:val="center"/>
              <w:rPr>
                <w:b/>
                <w:bCs/>
                <w:color w:val="auto"/>
                <w:kern w:val="0"/>
                <w:sz w:val="24"/>
                <w:highlight w:val="none"/>
              </w:rPr>
            </w:pPr>
          </w:p>
        </w:tc>
        <w:tc>
          <w:tcPr>
            <w:tcW w:w="977" w:type="dxa"/>
            <w:shd w:val="clear" w:color="auto" w:fill="auto"/>
            <w:noWrap/>
            <w:vAlign w:val="center"/>
          </w:tcPr>
          <w:p w14:paraId="3BEA5496">
            <w:pPr>
              <w:widowControl/>
              <w:spacing w:line="400" w:lineRule="exact"/>
              <w:ind w:firstLine="0" w:firstLineChars="0"/>
              <w:jc w:val="center"/>
              <w:rPr>
                <w:color w:val="auto"/>
                <w:sz w:val="24"/>
                <w:highlight w:val="none"/>
              </w:rPr>
            </w:pPr>
            <w:r>
              <w:rPr>
                <w:rFonts w:hint="eastAsia"/>
                <w:color w:val="auto"/>
                <w:sz w:val="24"/>
                <w:highlight w:val="none"/>
              </w:rPr>
              <w:t>13</w:t>
            </w:r>
          </w:p>
        </w:tc>
        <w:tc>
          <w:tcPr>
            <w:tcW w:w="4849" w:type="dxa"/>
            <w:shd w:val="clear" w:color="auto" w:fill="auto"/>
            <w:noWrap/>
            <w:vAlign w:val="center"/>
          </w:tcPr>
          <w:p w14:paraId="5D840028">
            <w:pPr>
              <w:widowControl/>
              <w:spacing w:line="400" w:lineRule="exact"/>
              <w:ind w:firstLine="0" w:firstLineChars="0"/>
              <w:jc w:val="left"/>
              <w:rPr>
                <w:color w:val="auto"/>
                <w:sz w:val="24"/>
                <w:highlight w:val="none"/>
              </w:rPr>
            </w:pPr>
            <w:r>
              <w:rPr>
                <w:rFonts w:hint="eastAsia"/>
                <w:color w:val="auto"/>
                <w:sz w:val="24"/>
                <w:highlight w:val="none"/>
              </w:rPr>
              <w:t>应急演练</w:t>
            </w:r>
          </w:p>
        </w:tc>
        <w:tc>
          <w:tcPr>
            <w:tcW w:w="829" w:type="dxa"/>
            <w:shd w:val="clear" w:color="auto" w:fill="auto"/>
            <w:noWrap/>
            <w:vAlign w:val="center"/>
          </w:tcPr>
          <w:p w14:paraId="763DBC69">
            <w:pPr>
              <w:widowControl/>
              <w:spacing w:line="400" w:lineRule="exact"/>
              <w:ind w:firstLine="0" w:firstLineChars="0"/>
              <w:jc w:val="center"/>
              <w:rPr>
                <w:color w:val="auto"/>
                <w:sz w:val="24"/>
                <w:highlight w:val="none"/>
              </w:rPr>
            </w:pPr>
            <w:r>
              <w:rPr>
                <w:rFonts w:hint="eastAsia"/>
                <w:color w:val="auto"/>
                <w:sz w:val="24"/>
                <w:highlight w:val="none"/>
              </w:rPr>
              <w:t>次</w:t>
            </w:r>
          </w:p>
        </w:tc>
        <w:tc>
          <w:tcPr>
            <w:tcW w:w="485" w:type="dxa"/>
            <w:shd w:val="clear" w:color="auto" w:fill="auto"/>
            <w:noWrap/>
            <w:vAlign w:val="center"/>
          </w:tcPr>
          <w:p w14:paraId="542BE4E6">
            <w:pPr>
              <w:widowControl/>
              <w:spacing w:line="400" w:lineRule="exact"/>
              <w:ind w:firstLine="0" w:firstLineChars="0"/>
              <w:jc w:val="center"/>
              <w:rPr>
                <w:color w:val="auto"/>
                <w:sz w:val="24"/>
                <w:highlight w:val="none"/>
              </w:rPr>
            </w:pPr>
            <w:r>
              <w:rPr>
                <w:rFonts w:hint="eastAsia"/>
                <w:color w:val="auto"/>
                <w:sz w:val="24"/>
                <w:highlight w:val="none"/>
              </w:rPr>
              <w:t>1</w:t>
            </w:r>
          </w:p>
        </w:tc>
      </w:tr>
    </w:tbl>
    <w:p w14:paraId="5BE15BFF">
      <w:pPr>
        <w:numPr>
          <w:ilvl w:val="255"/>
          <w:numId w:val="0"/>
        </w:numPr>
        <w:ind w:firstLine="560" w:firstLineChars="200"/>
        <w:rPr>
          <w:rFonts w:ascii="方正黑体_GBK" w:eastAsia="方正黑体_GBK"/>
          <w:color w:val="auto"/>
          <w:szCs w:val="28"/>
          <w:highlight w:val="none"/>
        </w:rPr>
      </w:pPr>
      <w:r>
        <w:rPr>
          <w:rFonts w:hint="eastAsia" w:ascii="方正黑体_GBK" w:eastAsia="方正黑体_GBK"/>
          <w:color w:val="auto"/>
          <w:szCs w:val="28"/>
          <w:highlight w:val="none"/>
        </w:rPr>
        <w:t>二、</w:t>
      </w:r>
      <w:r>
        <w:rPr>
          <w:rFonts w:ascii="方正黑体_GBK" w:eastAsia="方正黑体_GBK"/>
          <w:color w:val="auto"/>
          <w:szCs w:val="28"/>
          <w:highlight w:val="none"/>
        </w:rPr>
        <w:t>技术/服务要求</w:t>
      </w:r>
    </w:p>
    <w:p w14:paraId="71AC38A7">
      <w:pPr>
        <w:numPr>
          <w:ilvl w:val="255"/>
          <w:numId w:val="0"/>
        </w:numPr>
        <w:ind w:firstLine="560" w:firstLineChars="200"/>
        <w:rPr>
          <w:color w:val="auto"/>
          <w:highlight w:val="none"/>
        </w:rPr>
      </w:pPr>
      <w:r>
        <w:rPr>
          <w:rFonts w:hint="eastAsia"/>
          <w:color w:val="auto"/>
          <w:highlight w:val="none"/>
        </w:rPr>
        <w:t>1.等级保护测评服务</w:t>
      </w:r>
    </w:p>
    <w:p w14:paraId="1838C2BB">
      <w:pPr>
        <w:ind w:firstLine="560"/>
        <w:rPr>
          <w:rFonts w:hint="eastAsia"/>
          <w:color w:val="auto"/>
          <w:highlight w:val="none"/>
        </w:rPr>
      </w:pPr>
      <w:r>
        <w:rPr>
          <w:rFonts w:hint="eastAsia"/>
          <w:color w:val="auto"/>
          <w:highlight w:val="none"/>
        </w:rPr>
        <w:t>依照GB/T28448-2019《信息安全技术信息系统安全等级保护测评要求》和GB/T 28449-2018《信息安全技术信息系统安全等级保护测评过程指南》对信息系统进行等级保护测评，测评的内容包括但不限于被测系统自身以及与被测系统运行密不可分的物理环境、网络环境、主机及相关系统、安全管理制度等，需出具《信息安全等级保护测评报告</w:t>
      </w:r>
      <w:r>
        <w:rPr>
          <w:rFonts w:hint="eastAsia"/>
          <w:color w:val="auto"/>
          <w:highlight w:val="none"/>
          <w:lang w:eastAsia="zh-CN"/>
        </w:rPr>
        <w:t>》《</w:t>
      </w:r>
      <w:r>
        <w:rPr>
          <w:rFonts w:hint="eastAsia"/>
          <w:color w:val="auto"/>
          <w:highlight w:val="none"/>
        </w:rPr>
        <w:t>系统标准对比差距说明与整改建议》。</w:t>
      </w:r>
    </w:p>
    <w:p w14:paraId="7B2DC6D7">
      <w:pPr>
        <w:ind w:firstLine="560"/>
        <w:rPr>
          <w:rFonts w:hint="eastAsia"/>
          <w:color w:val="auto"/>
          <w:highlight w:val="none"/>
        </w:rPr>
      </w:pPr>
    </w:p>
    <w:p w14:paraId="50BF11FA">
      <w:pPr>
        <w:numPr>
          <w:ilvl w:val="255"/>
          <w:numId w:val="0"/>
        </w:numPr>
        <w:ind w:firstLine="560" w:firstLineChars="200"/>
        <w:rPr>
          <w:color w:val="auto"/>
          <w:highlight w:val="none"/>
        </w:rPr>
      </w:pPr>
      <w:r>
        <w:rPr>
          <w:rFonts w:hint="eastAsia"/>
          <w:color w:val="auto"/>
          <w:highlight w:val="none"/>
        </w:rPr>
        <w:t>2.渗透测试服务</w:t>
      </w:r>
    </w:p>
    <w:p w14:paraId="6DE864AA">
      <w:pPr>
        <w:numPr>
          <w:ilvl w:val="255"/>
          <w:numId w:val="0"/>
        </w:numPr>
        <w:ind w:firstLine="560" w:firstLineChars="200"/>
        <w:rPr>
          <w:color w:val="auto"/>
          <w:highlight w:val="none"/>
        </w:rPr>
      </w:pPr>
      <w:r>
        <w:rPr>
          <w:rFonts w:hint="eastAsia"/>
          <w:color w:val="auto"/>
          <w:highlight w:val="none"/>
        </w:rPr>
        <w:t>乙方应具有较强的安全服务能力，能够利用测评、评估、漏洞扫描等方法发现系统安全隐患并提出合理的整改建议。对系统漏洞能够及时定位，并对后续修复的情况进行验证，以达到公安部对项目测评过程中漏洞修复的基本要求。能完全模拟黑客可能使用的攻击技术和漏洞发现技术，对目标系统的安全做深入的探测，发现系统最脆弱的环节。其内容包含但不限于：应用服务器渗透测试、应用软件渗透测试、数据库渗透测试、网络设备渗透测试。出具分析报告，协助整改后完成回归测试。需出具《渗透测试报告》。</w:t>
      </w:r>
    </w:p>
    <w:p w14:paraId="64B39093">
      <w:pPr>
        <w:numPr>
          <w:ilvl w:val="255"/>
          <w:numId w:val="0"/>
        </w:numPr>
        <w:ind w:firstLine="560" w:firstLineChars="200"/>
        <w:rPr>
          <w:color w:val="auto"/>
          <w:highlight w:val="none"/>
        </w:rPr>
      </w:pPr>
      <w:r>
        <w:rPr>
          <w:rFonts w:hint="eastAsia"/>
          <w:color w:val="auto"/>
          <w:highlight w:val="none"/>
        </w:rPr>
        <w:t>3.安全巡检及安全扫描服务</w:t>
      </w:r>
    </w:p>
    <w:p w14:paraId="4C8B72A6">
      <w:pPr>
        <w:numPr>
          <w:ilvl w:val="255"/>
          <w:numId w:val="0"/>
        </w:numPr>
        <w:ind w:firstLine="560" w:firstLineChars="200"/>
        <w:rPr>
          <w:color w:val="auto"/>
          <w:highlight w:val="none"/>
        </w:rPr>
      </w:pPr>
      <w:r>
        <w:rPr>
          <w:rFonts w:hint="eastAsia"/>
          <w:color w:val="auto"/>
          <w:highlight w:val="none"/>
        </w:rPr>
        <w:t>对信息系统定期检测（工具扫描及安全专家人工检测），及时发现信息系统（网络架构、网络设备、服务器主机、操作系统、数据库和甲方账号、口令等安全对象）存在的各种安全隐患，跟踪系统运行状态。对存在的安全隐患协助甲方整改，并完成回归检测。需出具《安全巡检报告》，每季度一次服务。</w:t>
      </w:r>
    </w:p>
    <w:p w14:paraId="36EB0079">
      <w:pPr>
        <w:numPr>
          <w:ilvl w:val="255"/>
          <w:numId w:val="0"/>
        </w:numPr>
        <w:ind w:firstLine="560" w:firstLineChars="200"/>
        <w:rPr>
          <w:color w:val="auto"/>
          <w:highlight w:val="none"/>
        </w:rPr>
      </w:pPr>
      <w:r>
        <w:rPr>
          <w:rFonts w:hint="eastAsia"/>
          <w:color w:val="auto"/>
          <w:highlight w:val="none"/>
        </w:rPr>
        <w:t>4.网站监测预警</w:t>
      </w:r>
    </w:p>
    <w:p w14:paraId="60AA61C2">
      <w:pPr>
        <w:ind w:firstLine="560"/>
        <w:rPr>
          <w:color w:val="auto"/>
          <w:highlight w:val="none"/>
        </w:rPr>
      </w:pPr>
      <w:r>
        <w:rPr>
          <w:rFonts w:hint="eastAsia"/>
          <w:color w:val="auto"/>
          <w:highlight w:val="none"/>
        </w:rPr>
        <w:t>采用网站系统实时监控预警平台，对客户网站系统的可用性、挂马、篡改、SQL注入等常见信息安全事件进行监测，并及时预警通告。需每月出具《网站安全预警通告》。</w:t>
      </w:r>
    </w:p>
    <w:p w14:paraId="3DFEE1A6">
      <w:pPr>
        <w:numPr>
          <w:ilvl w:val="255"/>
          <w:numId w:val="0"/>
        </w:numPr>
        <w:ind w:firstLine="560" w:firstLineChars="200"/>
        <w:rPr>
          <w:color w:val="auto"/>
          <w:highlight w:val="none"/>
        </w:rPr>
      </w:pPr>
      <w:r>
        <w:rPr>
          <w:rFonts w:hint="eastAsia"/>
          <w:color w:val="auto"/>
          <w:highlight w:val="none"/>
        </w:rPr>
        <w:t>5.事件应急响应服务</w:t>
      </w:r>
    </w:p>
    <w:p w14:paraId="4BE6BACC">
      <w:pPr>
        <w:ind w:firstLine="560"/>
        <w:rPr>
          <w:color w:val="auto"/>
          <w:highlight w:val="none"/>
        </w:rPr>
      </w:pPr>
      <w:r>
        <w:rPr>
          <w:rFonts w:hint="eastAsia"/>
          <w:color w:val="auto"/>
          <w:highlight w:val="none"/>
        </w:rPr>
        <w:t>提供信息安全事件快速响应服务，及时处理安全问题，分析安全事件，提供调查与追踪及取证服务。协助开展应急演练工作，调整应急预案。</w:t>
      </w:r>
    </w:p>
    <w:p w14:paraId="291ED0A9">
      <w:pPr>
        <w:numPr>
          <w:ilvl w:val="255"/>
          <w:numId w:val="0"/>
        </w:numPr>
        <w:ind w:firstLine="560" w:firstLineChars="200"/>
        <w:rPr>
          <w:color w:val="auto"/>
          <w:highlight w:val="none"/>
        </w:rPr>
      </w:pPr>
      <w:r>
        <w:rPr>
          <w:rFonts w:hint="eastAsia"/>
          <w:color w:val="auto"/>
          <w:highlight w:val="none"/>
        </w:rPr>
        <w:t>6.安全评估服务</w:t>
      </w:r>
    </w:p>
    <w:p w14:paraId="40EA033C">
      <w:pPr>
        <w:ind w:firstLine="560"/>
        <w:rPr>
          <w:color w:val="auto"/>
          <w:highlight w:val="none"/>
        </w:rPr>
      </w:pPr>
      <w:r>
        <w:rPr>
          <w:rFonts w:hint="eastAsia"/>
          <w:color w:val="auto"/>
          <w:highlight w:val="none"/>
        </w:rPr>
        <w:t>对信息资产所面临的威胁、存在的弱点、造成的影响，以及三者综合作用所带来风险的可能性进行评估，得出科学、可量化的风险等级评价，从而进行风险管理及资源优化。需出具《安全评估报告》。</w:t>
      </w:r>
    </w:p>
    <w:p w14:paraId="093E24A0">
      <w:pPr>
        <w:ind w:firstLine="560"/>
        <w:rPr>
          <w:color w:val="auto"/>
          <w:highlight w:val="none"/>
        </w:rPr>
      </w:pPr>
      <w:r>
        <w:rPr>
          <w:rFonts w:hint="eastAsia"/>
          <w:color w:val="auto"/>
          <w:highlight w:val="none"/>
        </w:rPr>
        <w:t>7.为甲方被测信息系统建立可靠的风险评估和整改机制、可行的安全防护措施、完善的信息安全管理体系，确保安全防护体系的有效性，符合信息安全等级保护要求。</w:t>
      </w:r>
    </w:p>
    <w:p w14:paraId="32485848">
      <w:pPr>
        <w:ind w:firstLine="560"/>
        <w:rPr>
          <w:color w:val="auto"/>
          <w:highlight w:val="none"/>
        </w:rPr>
      </w:pPr>
      <w:r>
        <w:rPr>
          <w:rFonts w:hint="eastAsia"/>
          <w:color w:val="auto"/>
          <w:highlight w:val="none"/>
        </w:rPr>
        <w:t>8</w:t>
      </w:r>
      <w:r>
        <w:rPr>
          <w:color w:val="auto"/>
          <w:highlight w:val="none"/>
        </w:rPr>
        <w:t>.</w:t>
      </w:r>
      <w:r>
        <w:rPr>
          <w:rFonts w:hint="eastAsia"/>
          <w:color w:val="auto"/>
          <w:highlight w:val="none"/>
        </w:rPr>
        <w:t>乙方须具有相关服务能力</w:t>
      </w:r>
      <w:r>
        <w:rPr>
          <w:rFonts w:hint="eastAsia"/>
          <w:color w:val="auto"/>
          <w:highlight w:val="none"/>
          <w:lang w:eastAsia="zh-CN"/>
        </w:rPr>
        <w:t>，</w:t>
      </w:r>
      <w:r>
        <w:rPr>
          <w:rFonts w:hint="eastAsia"/>
          <w:color w:val="auto"/>
          <w:highlight w:val="none"/>
        </w:rPr>
        <w:t xml:space="preserve">提供数据安全相关咨询服务，以满足甲方下一步数据安全合规工作的开展，以及需落实国家数据安全协调机制相关工作要求和甲方数据安全保护义务。 </w:t>
      </w:r>
    </w:p>
    <w:p w14:paraId="2CB4B7D6">
      <w:pPr>
        <w:ind w:firstLine="560"/>
        <w:rPr>
          <w:color w:val="auto"/>
          <w:highlight w:val="none"/>
        </w:rPr>
      </w:pPr>
      <w:r>
        <w:rPr>
          <w:rFonts w:hint="eastAsia"/>
          <w:color w:val="auto"/>
          <w:highlight w:val="none"/>
        </w:rPr>
        <w:t>9</w:t>
      </w:r>
      <w:r>
        <w:rPr>
          <w:color w:val="auto"/>
          <w:highlight w:val="none"/>
        </w:rPr>
        <w:t>.</w:t>
      </w:r>
      <w:r>
        <w:rPr>
          <w:rFonts w:hint="eastAsia"/>
          <w:color w:val="auto"/>
          <w:highlight w:val="none"/>
        </w:rPr>
        <w:t>乙方在服务实施过程中</w:t>
      </w:r>
      <w:r>
        <w:rPr>
          <w:rFonts w:hint="eastAsia"/>
          <w:color w:val="auto"/>
          <w:highlight w:val="none"/>
          <w:lang w:eastAsia="zh-CN"/>
        </w:rPr>
        <w:t>，</w:t>
      </w:r>
      <w:r>
        <w:rPr>
          <w:rFonts w:hint="eastAsia"/>
          <w:color w:val="auto"/>
          <w:highlight w:val="none"/>
        </w:rPr>
        <w:t>对项目进行规范化管理，确保项目服务质量可控和过程文档完整。针对服务中发现的安全问题，乙方需通过专业的技术手段进行合理分析，正确评估风险，协助甲方完成整改工作；提供信息安全规划、方针、策略和管理制度体系咨询服务</w:t>
      </w:r>
      <w:r>
        <w:rPr>
          <w:rFonts w:hint="eastAsia"/>
          <w:color w:val="auto"/>
          <w:highlight w:val="none"/>
          <w:lang w:eastAsia="zh-CN"/>
        </w:rPr>
        <w:t>，</w:t>
      </w:r>
      <w:r>
        <w:rPr>
          <w:rFonts w:hint="eastAsia"/>
          <w:color w:val="auto"/>
          <w:highlight w:val="none"/>
        </w:rPr>
        <w:t xml:space="preserve">配合对被检测系统的安全加固提供技术指导。 </w:t>
      </w:r>
    </w:p>
    <w:p w14:paraId="262C083F">
      <w:pPr>
        <w:widowControl/>
        <w:ind w:firstLine="560"/>
        <w:rPr>
          <w:color w:val="auto"/>
          <w:highlight w:val="none"/>
        </w:rPr>
      </w:pPr>
      <w:r>
        <w:rPr>
          <w:color w:val="auto"/>
          <w:highlight w:val="none"/>
        </w:rPr>
        <w:t>10.</w:t>
      </w:r>
      <w:r>
        <w:rPr>
          <w:rFonts w:hint="eastAsia"/>
          <w:color w:val="auto"/>
          <w:highlight w:val="none"/>
        </w:rPr>
        <w:t>乙方</w:t>
      </w:r>
      <w:r>
        <w:rPr>
          <w:color w:val="auto"/>
          <w:highlight w:val="none"/>
        </w:rPr>
        <w:t>应配备专业</w:t>
      </w:r>
      <w:r>
        <w:rPr>
          <w:rFonts w:hint="eastAsia"/>
          <w:color w:val="auto"/>
          <w:highlight w:val="none"/>
        </w:rPr>
        <w:t>的服务团队：乙方</w:t>
      </w:r>
      <w:r>
        <w:rPr>
          <w:color w:val="auto"/>
          <w:highlight w:val="none"/>
        </w:rPr>
        <w:t>须组建专业、稳定的专项服务团队，配置具备相应从业经验的专业技术人员，团队人员不得兼职多个同类项目，确保本项目服务质量，具体岗位配置及基本要求如下</w:t>
      </w:r>
      <w:r>
        <w:rPr>
          <w:rFonts w:hint="eastAsia"/>
          <w:color w:val="auto"/>
          <w:highlight w:val="none"/>
        </w:rPr>
        <w:t>（拟派项目总测评师与项目经理不得兼任）</w:t>
      </w:r>
      <w:r>
        <w:rPr>
          <w:color w:val="auto"/>
          <w:highlight w:val="none"/>
        </w:rPr>
        <w:t>：</w:t>
      </w:r>
    </w:p>
    <w:p w14:paraId="6E2ABE2E">
      <w:pPr>
        <w:widowControl/>
        <w:ind w:firstLine="560" w:firstLineChars="0"/>
        <w:rPr>
          <w:color w:val="auto"/>
          <w:highlight w:val="none"/>
        </w:rPr>
      </w:pPr>
      <w:r>
        <w:rPr>
          <w:rFonts w:hint="eastAsia"/>
          <w:color w:val="auto"/>
          <w:highlight w:val="none"/>
        </w:rPr>
        <w:t>（1）项目总负责人（1</w:t>
      </w:r>
      <w:r>
        <w:rPr>
          <w:color w:val="auto"/>
          <w:highlight w:val="none"/>
        </w:rPr>
        <w:t xml:space="preserve"> </w:t>
      </w:r>
      <w:r>
        <w:rPr>
          <w:rFonts w:hint="eastAsia"/>
          <w:color w:val="auto"/>
          <w:highlight w:val="none"/>
        </w:rPr>
        <w:t>名）：为本项目测评工作总负责人，全面统筹项目测评实施、技术质量管控、成果文件审核、重大问题研判，对项目测评结论的合规性、准确性负总责；具备网络安全测评相关丰富项目经验，能够牵头处理项目实施过程中的重大技术、协调问题。</w:t>
      </w:r>
    </w:p>
    <w:p w14:paraId="36D53372">
      <w:pPr>
        <w:widowControl/>
        <w:numPr>
          <w:ilvl w:val="255"/>
          <w:numId w:val="0"/>
        </w:numPr>
        <w:ind w:firstLine="560"/>
        <w:rPr>
          <w:color w:val="auto"/>
          <w:highlight w:val="none"/>
        </w:rPr>
      </w:pPr>
      <w:r>
        <w:rPr>
          <w:rFonts w:hint="eastAsia"/>
          <w:color w:val="auto"/>
          <w:highlight w:val="none"/>
        </w:rPr>
        <w:t>（2）项目经理（1</w:t>
      </w:r>
      <w:r>
        <w:rPr>
          <w:color w:val="auto"/>
          <w:highlight w:val="none"/>
        </w:rPr>
        <w:t xml:space="preserve"> </w:t>
      </w:r>
      <w:r>
        <w:rPr>
          <w:rFonts w:hint="eastAsia"/>
          <w:color w:val="auto"/>
          <w:highlight w:val="none"/>
        </w:rPr>
        <w:t>名）：负责本项目整体项目管理工作，统筹项目计划编制、进度管控、内外沟通协调、资料归集、项目风险管控、甲方需求对接，把控项目全流程交付节点，保障项目按照合同及招标文件要求按期落地。</w:t>
      </w:r>
    </w:p>
    <w:p w14:paraId="79F3B13B">
      <w:pPr>
        <w:widowControl/>
        <w:numPr>
          <w:ilvl w:val="255"/>
          <w:numId w:val="0"/>
        </w:numPr>
        <w:ind w:firstLine="560"/>
        <w:rPr>
          <w:color w:val="auto"/>
          <w:highlight w:val="none"/>
        </w:rPr>
      </w:pPr>
      <w:r>
        <w:rPr>
          <w:rFonts w:hint="eastAsia"/>
          <w:color w:val="auto"/>
          <w:highlight w:val="none"/>
        </w:rPr>
        <w:t>（3）渗透测试负责人（1</w:t>
      </w:r>
      <w:r>
        <w:rPr>
          <w:color w:val="auto"/>
          <w:highlight w:val="none"/>
        </w:rPr>
        <w:t xml:space="preserve"> </w:t>
      </w:r>
      <w:r>
        <w:rPr>
          <w:rFonts w:hint="eastAsia"/>
          <w:color w:val="auto"/>
          <w:highlight w:val="none"/>
        </w:rPr>
        <w:t>名）： 牵头负责本项目渗透测试工作，制定渗透测试实施方案，组织开展模拟攻防、漏洞挖掘、风险验证工作，对渗透测试结果进行复核研判，输出渗透测试成果，梳理安全风险点并提供技术分析意见。</w:t>
      </w:r>
    </w:p>
    <w:p w14:paraId="3BBB3D35">
      <w:pPr>
        <w:widowControl/>
        <w:numPr>
          <w:ilvl w:val="255"/>
          <w:numId w:val="0"/>
        </w:numPr>
        <w:ind w:firstLine="560"/>
        <w:rPr>
          <w:color w:val="auto"/>
          <w:highlight w:val="none"/>
        </w:rPr>
      </w:pPr>
      <w:r>
        <w:rPr>
          <w:rFonts w:hint="eastAsia"/>
          <w:color w:val="auto"/>
          <w:highlight w:val="none"/>
        </w:rPr>
        <w:t>（4）项目组测评人员（不少于5人）：配合开展现场测评、工具检测、访谈核查、资料核验、原始证据记录、底稿编制等相关技术工作，完成各分项测评任务，支撑项目各项报告材料编制，服从项目总负责人、项目经理工作安排。</w:t>
      </w:r>
    </w:p>
    <w:p w14:paraId="7500C3C6">
      <w:pPr>
        <w:spacing w:line="550" w:lineRule="exact"/>
        <w:ind w:firstLine="560"/>
        <w:rPr>
          <w:rFonts w:ascii="Times New Roman" w:hAnsi="Times New Roman" w:eastAsia="方正黑体_GBK"/>
          <w:color w:val="auto"/>
          <w:szCs w:val="28"/>
          <w:highlight w:val="none"/>
        </w:rPr>
      </w:pPr>
      <w:r>
        <w:rPr>
          <w:rFonts w:hint="eastAsia" w:ascii="Times New Roman" w:hAnsi="Times New Roman" w:eastAsia="方正黑体_GBK"/>
          <w:color w:val="auto"/>
          <w:szCs w:val="20"/>
          <w:highlight w:val="none"/>
        </w:rPr>
        <w:t>三、</w:t>
      </w:r>
      <w:r>
        <w:rPr>
          <w:rFonts w:ascii="Times New Roman" w:hAnsi="Times New Roman" w:eastAsia="方正黑体_GBK"/>
          <w:color w:val="auto"/>
          <w:szCs w:val="20"/>
          <w:highlight w:val="none"/>
        </w:rPr>
        <w:t>服务期、地点</w:t>
      </w:r>
      <w:r>
        <w:rPr>
          <w:rFonts w:hint="eastAsia" w:ascii="Times New Roman" w:hAnsi="Times New Roman" w:eastAsia="方正黑体_GBK"/>
          <w:color w:val="auto"/>
          <w:szCs w:val="20"/>
          <w:highlight w:val="none"/>
        </w:rPr>
        <w:t>及验收方式</w:t>
      </w:r>
    </w:p>
    <w:p w14:paraId="78AAE52D">
      <w:pPr>
        <w:spacing w:line="550" w:lineRule="exact"/>
        <w:ind w:firstLine="560"/>
        <w:rPr>
          <w:rFonts w:ascii="Times New Roman" w:hAnsi="Times New Roman"/>
          <w:color w:val="auto"/>
          <w:highlight w:val="none"/>
        </w:rPr>
      </w:pPr>
      <w:r>
        <w:rPr>
          <w:rFonts w:ascii="Times New Roman" w:hAnsi="Times New Roman"/>
          <w:color w:val="auto"/>
          <w:highlight w:val="none"/>
        </w:rPr>
        <w:t>（一）服务期：</w:t>
      </w:r>
      <w:r>
        <w:rPr>
          <w:rFonts w:hint="eastAsia"/>
          <w:color w:val="auto"/>
          <w:szCs w:val="28"/>
          <w:highlight w:val="none"/>
        </w:rPr>
        <w:t>合同签订之日起</w:t>
      </w:r>
      <w:r>
        <w:rPr>
          <w:color w:val="auto"/>
          <w:szCs w:val="28"/>
          <w:highlight w:val="none"/>
        </w:rPr>
        <w:t>1</w:t>
      </w:r>
      <w:r>
        <w:rPr>
          <w:rFonts w:hint="eastAsia"/>
          <w:color w:val="auto"/>
          <w:szCs w:val="28"/>
          <w:highlight w:val="none"/>
        </w:rPr>
        <w:t>年</w:t>
      </w:r>
    </w:p>
    <w:p w14:paraId="201BA6E3">
      <w:pPr>
        <w:spacing w:line="550" w:lineRule="exact"/>
        <w:ind w:firstLine="560"/>
        <w:rPr>
          <w:rFonts w:ascii="Times New Roman" w:hAnsi="Times New Roman"/>
          <w:color w:val="auto"/>
          <w:highlight w:val="none"/>
        </w:rPr>
      </w:pPr>
      <w:r>
        <w:rPr>
          <w:rFonts w:ascii="Times New Roman" w:hAnsi="Times New Roman"/>
          <w:color w:val="auto"/>
          <w:highlight w:val="none"/>
        </w:rPr>
        <w:t>（二）服务地点：</w:t>
      </w:r>
      <w:r>
        <w:rPr>
          <w:rFonts w:hint="eastAsia" w:ascii="Times New Roman" w:hAnsi="Times New Roman"/>
          <w:color w:val="auto"/>
          <w:szCs w:val="28"/>
          <w:highlight w:val="none"/>
        </w:rPr>
        <w:t>甲方</w:t>
      </w:r>
      <w:r>
        <w:rPr>
          <w:rFonts w:ascii="Times New Roman" w:hAnsi="Times New Roman"/>
          <w:color w:val="auto"/>
          <w:szCs w:val="28"/>
          <w:highlight w:val="none"/>
        </w:rPr>
        <w:t>指定地点</w:t>
      </w:r>
    </w:p>
    <w:p w14:paraId="40F14D0A">
      <w:pPr>
        <w:spacing w:line="550" w:lineRule="exact"/>
        <w:ind w:firstLine="560"/>
        <w:rPr>
          <w:rFonts w:ascii="Times New Roman" w:hAnsi="Times New Roman"/>
          <w:color w:val="auto"/>
          <w:szCs w:val="28"/>
          <w:highlight w:val="none"/>
        </w:rPr>
      </w:pPr>
      <w:r>
        <w:rPr>
          <w:rFonts w:ascii="Times New Roman" w:hAnsi="Times New Roman"/>
          <w:color w:val="auto"/>
          <w:highlight w:val="none"/>
        </w:rPr>
        <w:t>（三）</w:t>
      </w:r>
      <w:r>
        <w:rPr>
          <w:color w:val="auto"/>
          <w:szCs w:val="28"/>
          <w:highlight w:val="none"/>
        </w:rPr>
        <w:t>验收方式</w:t>
      </w:r>
      <w:r>
        <w:rPr>
          <w:rFonts w:hint="eastAsia"/>
          <w:color w:val="auto"/>
          <w:szCs w:val="28"/>
          <w:highlight w:val="none"/>
        </w:rPr>
        <w:t>：华龙网门户网站系统、1+41重庆客户端集群云平台、华龙芯智慧数字能力中台的等级保护测评、渗透测试服务、安全评估服务完成后，乙方向甲方提供相关验收资料后，甲方进行初验。合同约定的全部服务内容执行完成，乙方提供完整验收资料后，甲方开展终验。验收时需提供的资料如下：</w:t>
      </w:r>
    </w:p>
    <w:p w14:paraId="06E732AA">
      <w:pPr>
        <w:tabs>
          <w:tab w:val="left" w:pos="6930"/>
        </w:tabs>
        <w:adjustRightInd w:val="0"/>
        <w:snapToGrid w:val="0"/>
        <w:ind w:firstLine="560"/>
        <w:rPr>
          <w:color w:val="auto"/>
          <w:szCs w:val="28"/>
          <w:highlight w:val="none"/>
        </w:rPr>
      </w:pPr>
      <w:r>
        <w:rPr>
          <w:rFonts w:hint="eastAsia"/>
          <w:color w:val="auto"/>
          <w:szCs w:val="28"/>
          <w:highlight w:val="none"/>
        </w:rPr>
        <w:t>（1）华龙网门户网站系统三级等级保护测评报告</w:t>
      </w:r>
      <w:r>
        <w:rPr>
          <w:rFonts w:hint="eastAsia"/>
          <w:color w:val="auto"/>
          <w:highlight w:val="none"/>
        </w:rPr>
        <w:t>、系统标准对比差距说明与整改建议</w:t>
      </w:r>
      <w:r>
        <w:rPr>
          <w:rFonts w:hint="eastAsia"/>
          <w:color w:val="auto"/>
          <w:szCs w:val="28"/>
          <w:highlight w:val="none"/>
        </w:rPr>
        <w:t>（各</w:t>
      </w:r>
      <w:r>
        <w:rPr>
          <w:color w:val="auto"/>
          <w:szCs w:val="28"/>
          <w:highlight w:val="none"/>
        </w:rPr>
        <w:t>1</w:t>
      </w:r>
      <w:r>
        <w:rPr>
          <w:rFonts w:hint="eastAsia"/>
          <w:color w:val="auto"/>
          <w:szCs w:val="28"/>
          <w:highlight w:val="none"/>
        </w:rPr>
        <w:t>份）</w:t>
      </w:r>
    </w:p>
    <w:p w14:paraId="15532E53">
      <w:pPr>
        <w:tabs>
          <w:tab w:val="left" w:pos="6930"/>
        </w:tabs>
        <w:adjustRightInd w:val="0"/>
        <w:snapToGrid w:val="0"/>
        <w:ind w:firstLine="560"/>
        <w:rPr>
          <w:color w:val="auto"/>
          <w:szCs w:val="28"/>
          <w:highlight w:val="none"/>
        </w:rPr>
      </w:pPr>
      <w:r>
        <w:rPr>
          <w:rFonts w:hint="eastAsia"/>
          <w:color w:val="auto"/>
          <w:szCs w:val="28"/>
          <w:highlight w:val="none"/>
        </w:rPr>
        <w:t>（2）1+41重庆客户端集群云平台三级等级保护测评报告</w:t>
      </w:r>
      <w:r>
        <w:rPr>
          <w:rFonts w:hint="eastAsia"/>
          <w:color w:val="auto"/>
          <w:highlight w:val="none"/>
        </w:rPr>
        <w:t>、系统标准对比差距说明与整改建议</w:t>
      </w:r>
      <w:r>
        <w:rPr>
          <w:rFonts w:hint="eastAsia"/>
          <w:color w:val="auto"/>
          <w:szCs w:val="28"/>
          <w:highlight w:val="none"/>
        </w:rPr>
        <w:t>（各</w:t>
      </w:r>
      <w:r>
        <w:rPr>
          <w:color w:val="auto"/>
          <w:szCs w:val="28"/>
          <w:highlight w:val="none"/>
        </w:rPr>
        <w:t>1</w:t>
      </w:r>
      <w:r>
        <w:rPr>
          <w:rFonts w:hint="eastAsia"/>
          <w:color w:val="auto"/>
          <w:szCs w:val="28"/>
          <w:highlight w:val="none"/>
        </w:rPr>
        <w:t>份）</w:t>
      </w:r>
    </w:p>
    <w:p w14:paraId="4E1242F2">
      <w:pPr>
        <w:tabs>
          <w:tab w:val="left" w:pos="6930"/>
        </w:tabs>
        <w:adjustRightInd w:val="0"/>
        <w:snapToGrid w:val="0"/>
        <w:ind w:firstLine="560"/>
        <w:rPr>
          <w:color w:val="auto"/>
          <w:szCs w:val="28"/>
          <w:highlight w:val="none"/>
        </w:rPr>
      </w:pPr>
      <w:r>
        <w:rPr>
          <w:rFonts w:hint="eastAsia"/>
          <w:color w:val="auto"/>
          <w:szCs w:val="28"/>
          <w:highlight w:val="none"/>
        </w:rPr>
        <w:t>（3）华龙芯智慧数字能力中台三级等级保护测评报告</w:t>
      </w:r>
      <w:r>
        <w:rPr>
          <w:rFonts w:hint="eastAsia"/>
          <w:color w:val="auto"/>
          <w:highlight w:val="none"/>
        </w:rPr>
        <w:t>、系统标准对比差距说明与整改建议</w:t>
      </w:r>
      <w:r>
        <w:rPr>
          <w:rFonts w:hint="eastAsia"/>
          <w:color w:val="auto"/>
          <w:szCs w:val="28"/>
          <w:highlight w:val="none"/>
        </w:rPr>
        <w:t>（各</w:t>
      </w:r>
      <w:r>
        <w:rPr>
          <w:color w:val="auto"/>
          <w:szCs w:val="28"/>
          <w:highlight w:val="none"/>
        </w:rPr>
        <w:t>1</w:t>
      </w:r>
      <w:r>
        <w:rPr>
          <w:rFonts w:hint="eastAsia"/>
          <w:color w:val="auto"/>
          <w:szCs w:val="28"/>
          <w:highlight w:val="none"/>
        </w:rPr>
        <w:t>份）</w:t>
      </w:r>
    </w:p>
    <w:p w14:paraId="60F35C1D">
      <w:pPr>
        <w:tabs>
          <w:tab w:val="left" w:pos="6930"/>
        </w:tabs>
        <w:adjustRightInd w:val="0"/>
        <w:snapToGrid w:val="0"/>
        <w:ind w:firstLine="560"/>
        <w:rPr>
          <w:color w:val="auto"/>
          <w:szCs w:val="28"/>
          <w:highlight w:val="none"/>
        </w:rPr>
      </w:pPr>
      <w:r>
        <w:rPr>
          <w:rFonts w:hint="eastAsia"/>
          <w:color w:val="auto"/>
          <w:szCs w:val="28"/>
          <w:highlight w:val="none"/>
        </w:rPr>
        <w:t>（4）华龙网门户网站系统渗透测试报告（</w:t>
      </w:r>
      <w:r>
        <w:rPr>
          <w:color w:val="auto"/>
          <w:szCs w:val="28"/>
          <w:highlight w:val="none"/>
        </w:rPr>
        <w:t>1</w:t>
      </w:r>
      <w:r>
        <w:rPr>
          <w:rFonts w:hint="eastAsia"/>
          <w:color w:val="auto"/>
          <w:szCs w:val="28"/>
          <w:highlight w:val="none"/>
        </w:rPr>
        <w:t>份）</w:t>
      </w:r>
    </w:p>
    <w:p w14:paraId="09608E23">
      <w:pPr>
        <w:tabs>
          <w:tab w:val="left" w:pos="6930"/>
        </w:tabs>
        <w:adjustRightInd w:val="0"/>
        <w:snapToGrid w:val="0"/>
        <w:ind w:firstLine="560"/>
        <w:rPr>
          <w:color w:val="auto"/>
          <w:szCs w:val="28"/>
          <w:highlight w:val="none"/>
        </w:rPr>
      </w:pPr>
      <w:r>
        <w:rPr>
          <w:rFonts w:hint="eastAsia"/>
          <w:color w:val="auto"/>
          <w:szCs w:val="28"/>
          <w:highlight w:val="none"/>
        </w:rPr>
        <w:t>（5）1+41重庆客户端集群云平台渗透测试报告（</w:t>
      </w:r>
      <w:r>
        <w:rPr>
          <w:color w:val="auto"/>
          <w:szCs w:val="28"/>
          <w:highlight w:val="none"/>
        </w:rPr>
        <w:t>1</w:t>
      </w:r>
      <w:r>
        <w:rPr>
          <w:rFonts w:hint="eastAsia"/>
          <w:color w:val="auto"/>
          <w:szCs w:val="28"/>
          <w:highlight w:val="none"/>
        </w:rPr>
        <w:t>份）</w:t>
      </w:r>
    </w:p>
    <w:p w14:paraId="6A24D167">
      <w:pPr>
        <w:tabs>
          <w:tab w:val="left" w:pos="6930"/>
        </w:tabs>
        <w:adjustRightInd w:val="0"/>
        <w:snapToGrid w:val="0"/>
        <w:ind w:firstLine="560"/>
        <w:rPr>
          <w:color w:val="auto"/>
          <w:szCs w:val="28"/>
          <w:highlight w:val="none"/>
        </w:rPr>
      </w:pPr>
      <w:r>
        <w:rPr>
          <w:rFonts w:hint="eastAsia"/>
          <w:color w:val="auto"/>
          <w:szCs w:val="28"/>
          <w:highlight w:val="none"/>
        </w:rPr>
        <w:t>（6）华龙芯智慧数字能力中台渗透测试报告（</w:t>
      </w:r>
      <w:r>
        <w:rPr>
          <w:color w:val="auto"/>
          <w:szCs w:val="28"/>
          <w:highlight w:val="none"/>
        </w:rPr>
        <w:t>1</w:t>
      </w:r>
      <w:r>
        <w:rPr>
          <w:rFonts w:hint="eastAsia"/>
          <w:color w:val="auto"/>
          <w:szCs w:val="28"/>
          <w:highlight w:val="none"/>
        </w:rPr>
        <w:t>份）</w:t>
      </w:r>
    </w:p>
    <w:p w14:paraId="702F0E39">
      <w:pPr>
        <w:tabs>
          <w:tab w:val="left" w:pos="6930"/>
        </w:tabs>
        <w:adjustRightInd w:val="0"/>
        <w:snapToGrid w:val="0"/>
        <w:ind w:firstLine="560"/>
        <w:rPr>
          <w:color w:val="auto"/>
          <w:szCs w:val="28"/>
          <w:highlight w:val="none"/>
        </w:rPr>
      </w:pPr>
      <w:r>
        <w:rPr>
          <w:rFonts w:hint="eastAsia"/>
          <w:color w:val="auto"/>
          <w:szCs w:val="28"/>
          <w:highlight w:val="none"/>
        </w:rPr>
        <w:t>（7）华龙网门户网站系统安全评估报告（</w:t>
      </w:r>
      <w:r>
        <w:rPr>
          <w:color w:val="auto"/>
          <w:szCs w:val="28"/>
          <w:highlight w:val="none"/>
        </w:rPr>
        <w:t>1</w:t>
      </w:r>
      <w:r>
        <w:rPr>
          <w:rFonts w:hint="eastAsia"/>
          <w:color w:val="auto"/>
          <w:szCs w:val="28"/>
          <w:highlight w:val="none"/>
        </w:rPr>
        <w:t>份）</w:t>
      </w:r>
    </w:p>
    <w:p w14:paraId="1D418327">
      <w:pPr>
        <w:tabs>
          <w:tab w:val="left" w:pos="6930"/>
        </w:tabs>
        <w:adjustRightInd w:val="0"/>
        <w:snapToGrid w:val="0"/>
        <w:ind w:firstLine="560"/>
        <w:rPr>
          <w:color w:val="auto"/>
          <w:szCs w:val="28"/>
          <w:highlight w:val="none"/>
        </w:rPr>
      </w:pPr>
      <w:r>
        <w:rPr>
          <w:rFonts w:hint="eastAsia"/>
          <w:color w:val="auto"/>
          <w:szCs w:val="28"/>
          <w:highlight w:val="none"/>
        </w:rPr>
        <w:t>（8）1+41重庆客户端集群云平台安全评估报告（</w:t>
      </w:r>
      <w:r>
        <w:rPr>
          <w:color w:val="auto"/>
          <w:szCs w:val="28"/>
          <w:highlight w:val="none"/>
        </w:rPr>
        <w:t>1</w:t>
      </w:r>
      <w:r>
        <w:rPr>
          <w:rFonts w:hint="eastAsia"/>
          <w:color w:val="auto"/>
          <w:szCs w:val="28"/>
          <w:highlight w:val="none"/>
        </w:rPr>
        <w:t>份）</w:t>
      </w:r>
    </w:p>
    <w:p w14:paraId="1E9A6B94">
      <w:pPr>
        <w:tabs>
          <w:tab w:val="left" w:pos="6930"/>
        </w:tabs>
        <w:adjustRightInd w:val="0"/>
        <w:snapToGrid w:val="0"/>
        <w:ind w:firstLine="560"/>
        <w:rPr>
          <w:color w:val="auto"/>
          <w:szCs w:val="28"/>
          <w:highlight w:val="none"/>
        </w:rPr>
      </w:pPr>
      <w:r>
        <w:rPr>
          <w:rFonts w:hint="eastAsia"/>
          <w:color w:val="auto"/>
          <w:szCs w:val="28"/>
          <w:highlight w:val="none"/>
        </w:rPr>
        <w:t>（9）华龙芯智慧数字能力中台安全评估报告（</w:t>
      </w:r>
      <w:r>
        <w:rPr>
          <w:color w:val="auto"/>
          <w:szCs w:val="28"/>
          <w:highlight w:val="none"/>
        </w:rPr>
        <w:t>1</w:t>
      </w:r>
      <w:r>
        <w:rPr>
          <w:rFonts w:hint="eastAsia"/>
          <w:color w:val="auto"/>
          <w:szCs w:val="28"/>
          <w:highlight w:val="none"/>
        </w:rPr>
        <w:t>份）</w:t>
      </w:r>
    </w:p>
    <w:p w14:paraId="4AF77A25">
      <w:pPr>
        <w:tabs>
          <w:tab w:val="left" w:pos="6930"/>
        </w:tabs>
        <w:adjustRightInd w:val="0"/>
        <w:snapToGrid w:val="0"/>
        <w:ind w:firstLine="560"/>
        <w:rPr>
          <w:color w:val="auto"/>
          <w:szCs w:val="28"/>
          <w:highlight w:val="none"/>
        </w:rPr>
      </w:pPr>
      <w:r>
        <w:rPr>
          <w:rFonts w:hint="eastAsia"/>
          <w:color w:val="auto"/>
          <w:szCs w:val="28"/>
          <w:highlight w:val="none"/>
        </w:rPr>
        <w:t>（10）华龙网门户网站安全巡检报告（每季度</w:t>
      </w:r>
      <w:r>
        <w:rPr>
          <w:color w:val="auto"/>
          <w:szCs w:val="28"/>
          <w:highlight w:val="none"/>
        </w:rPr>
        <w:t>1</w:t>
      </w:r>
      <w:r>
        <w:rPr>
          <w:rFonts w:hint="eastAsia"/>
          <w:color w:val="auto"/>
          <w:szCs w:val="28"/>
          <w:highlight w:val="none"/>
        </w:rPr>
        <w:t>份，共</w:t>
      </w:r>
      <w:r>
        <w:rPr>
          <w:color w:val="auto"/>
          <w:szCs w:val="28"/>
          <w:highlight w:val="none"/>
        </w:rPr>
        <w:t>4</w:t>
      </w:r>
      <w:r>
        <w:rPr>
          <w:rFonts w:hint="eastAsia"/>
          <w:color w:val="auto"/>
          <w:szCs w:val="28"/>
          <w:highlight w:val="none"/>
        </w:rPr>
        <w:t>份）</w:t>
      </w:r>
    </w:p>
    <w:p w14:paraId="771809C7">
      <w:pPr>
        <w:tabs>
          <w:tab w:val="left" w:pos="6930"/>
        </w:tabs>
        <w:adjustRightInd w:val="0"/>
        <w:snapToGrid w:val="0"/>
        <w:ind w:firstLine="560"/>
        <w:rPr>
          <w:color w:val="auto"/>
          <w:szCs w:val="28"/>
          <w:highlight w:val="none"/>
        </w:rPr>
      </w:pPr>
      <w:r>
        <w:rPr>
          <w:rFonts w:hint="eastAsia"/>
          <w:color w:val="auto"/>
          <w:szCs w:val="28"/>
          <w:highlight w:val="none"/>
        </w:rPr>
        <w:t>（11）华龙网门户网站安全预警通告（每月</w:t>
      </w:r>
      <w:r>
        <w:rPr>
          <w:color w:val="auto"/>
          <w:szCs w:val="28"/>
          <w:highlight w:val="none"/>
        </w:rPr>
        <w:t>1</w:t>
      </w:r>
      <w:r>
        <w:rPr>
          <w:rFonts w:hint="eastAsia"/>
          <w:color w:val="auto"/>
          <w:szCs w:val="28"/>
          <w:highlight w:val="none"/>
        </w:rPr>
        <w:t>份，共</w:t>
      </w:r>
      <w:r>
        <w:rPr>
          <w:color w:val="auto"/>
          <w:szCs w:val="28"/>
          <w:highlight w:val="none"/>
        </w:rPr>
        <w:t>12</w:t>
      </w:r>
      <w:r>
        <w:rPr>
          <w:rFonts w:hint="eastAsia"/>
          <w:color w:val="auto"/>
          <w:szCs w:val="28"/>
          <w:highlight w:val="none"/>
        </w:rPr>
        <w:t>份）</w:t>
      </w:r>
    </w:p>
    <w:p w14:paraId="771030C0">
      <w:pPr>
        <w:tabs>
          <w:tab w:val="left" w:pos="6930"/>
        </w:tabs>
        <w:adjustRightInd w:val="0"/>
        <w:snapToGrid w:val="0"/>
        <w:ind w:firstLine="560"/>
        <w:rPr>
          <w:color w:val="auto"/>
          <w:szCs w:val="28"/>
          <w:highlight w:val="none"/>
        </w:rPr>
      </w:pPr>
      <w:r>
        <w:rPr>
          <w:rFonts w:hint="eastAsia"/>
          <w:color w:val="auto"/>
          <w:szCs w:val="28"/>
          <w:highlight w:val="none"/>
        </w:rPr>
        <w:t>（12）华龙网门户网站系统、1+41重庆客户端集群云平台和华龙芯智慧数字能力中台的网络安全等级保护测评项目登记管理系统证明文件。</w:t>
      </w:r>
    </w:p>
    <w:p w14:paraId="12D134F1">
      <w:pPr>
        <w:snapToGrid w:val="0"/>
        <w:spacing w:line="550" w:lineRule="exact"/>
        <w:ind w:firstLine="560"/>
        <w:rPr>
          <w:rFonts w:ascii="方正仿宋_GBK"/>
          <w:b/>
          <w:color w:val="auto"/>
          <w:sz w:val="24"/>
          <w:highlight w:val="none"/>
        </w:rPr>
      </w:pPr>
      <w:r>
        <w:rPr>
          <w:rFonts w:hint="eastAsia" w:ascii="方正黑体_GBK" w:eastAsia="方正黑体_GBK"/>
          <w:color w:val="auto"/>
          <w:szCs w:val="28"/>
          <w:highlight w:val="none"/>
        </w:rPr>
        <w:t>四、质量保证及售后服务</w:t>
      </w:r>
    </w:p>
    <w:p w14:paraId="77D5CB90">
      <w:pPr>
        <w:pStyle w:val="6"/>
        <w:adjustRightInd/>
        <w:spacing w:line="579" w:lineRule="exact"/>
        <w:ind w:firstLine="560"/>
        <w:jc w:val="left"/>
        <w:rPr>
          <w:color w:val="auto"/>
          <w:sz w:val="28"/>
          <w:szCs w:val="28"/>
          <w:highlight w:val="none"/>
        </w:rPr>
      </w:pPr>
      <w:r>
        <w:rPr>
          <w:color w:val="auto"/>
          <w:sz w:val="28"/>
          <w:szCs w:val="28"/>
          <w:highlight w:val="none"/>
        </w:rPr>
        <w:t>1.</w:t>
      </w:r>
      <w:r>
        <w:rPr>
          <w:rFonts w:hint="eastAsia"/>
          <w:color w:val="auto"/>
          <w:sz w:val="28"/>
          <w:szCs w:val="28"/>
          <w:highlight w:val="none"/>
        </w:rPr>
        <w:t>乙方</w:t>
      </w:r>
      <w:r>
        <w:rPr>
          <w:color w:val="auto"/>
          <w:sz w:val="28"/>
          <w:szCs w:val="28"/>
          <w:highlight w:val="none"/>
        </w:rPr>
        <w:t>应提供相关的安全咨询服务。提供的安全咨询建议、策略、规范和整改建议要切合</w:t>
      </w:r>
      <w:r>
        <w:rPr>
          <w:rFonts w:hint="eastAsia"/>
          <w:color w:val="auto"/>
          <w:sz w:val="28"/>
          <w:szCs w:val="28"/>
          <w:highlight w:val="none"/>
        </w:rPr>
        <w:t>甲方</w:t>
      </w:r>
      <w:r>
        <w:rPr>
          <w:color w:val="auto"/>
          <w:sz w:val="28"/>
          <w:szCs w:val="28"/>
          <w:highlight w:val="none"/>
        </w:rPr>
        <w:t>实际情况，满足GB/T22239-2019《信息安全技术</w:t>
      </w:r>
      <w:r>
        <w:rPr>
          <w:rFonts w:hint="eastAsia"/>
          <w:color w:val="auto"/>
          <w:sz w:val="28"/>
          <w:szCs w:val="28"/>
          <w:highlight w:val="none"/>
        </w:rPr>
        <w:t xml:space="preserve"> </w:t>
      </w:r>
      <w:r>
        <w:rPr>
          <w:color w:val="auto"/>
          <w:sz w:val="28"/>
          <w:szCs w:val="28"/>
          <w:highlight w:val="none"/>
        </w:rPr>
        <w:t>信息系统安全等级保护基本要求》等标准、规范的相关要求。</w:t>
      </w:r>
    </w:p>
    <w:p w14:paraId="2B53E543">
      <w:pPr>
        <w:pStyle w:val="6"/>
        <w:adjustRightInd/>
        <w:spacing w:line="579" w:lineRule="exact"/>
        <w:ind w:firstLine="560"/>
        <w:jc w:val="left"/>
        <w:rPr>
          <w:color w:val="auto"/>
          <w:sz w:val="28"/>
          <w:szCs w:val="28"/>
          <w:highlight w:val="none"/>
        </w:rPr>
      </w:pPr>
      <w:r>
        <w:rPr>
          <w:color w:val="auto"/>
          <w:sz w:val="28"/>
          <w:szCs w:val="28"/>
          <w:highlight w:val="none"/>
        </w:rPr>
        <w:t>2.</w:t>
      </w:r>
      <w:r>
        <w:rPr>
          <w:rFonts w:hint="eastAsia"/>
          <w:color w:val="auto"/>
          <w:sz w:val="28"/>
          <w:szCs w:val="28"/>
          <w:highlight w:val="none"/>
        </w:rPr>
        <w:t>乙方</w:t>
      </w:r>
      <w:r>
        <w:rPr>
          <w:color w:val="auto"/>
          <w:sz w:val="28"/>
          <w:szCs w:val="28"/>
          <w:highlight w:val="none"/>
        </w:rPr>
        <w:t>应当为</w:t>
      </w:r>
      <w:r>
        <w:rPr>
          <w:rFonts w:hint="eastAsia"/>
          <w:color w:val="auto"/>
          <w:sz w:val="28"/>
          <w:szCs w:val="28"/>
          <w:highlight w:val="none"/>
        </w:rPr>
        <w:t>甲方</w:t>
      </w:r>
      <w:r>
        <w:rPr>
          <w:color w:val="auto"/>
          <w:sz w:val="28"/>
          <w:szCs w:val="28"/>
          <w:highlight w:val="none"/>
        </w:rPr>
        <w:t>提供技术援助电话，解答</w:t>
      </w:r>
      <w:r>
        <w:rPr>
          <w:rFonts w:hint="eastAsia"/>
          <w:color w:val="auto"/>
          <w:sz w:val="28"/>
          <w:szCs w:val="28"/>
          <w:highlight w:val="none"/>
        </w:rPr>
        <w:t>甲方</w:t>
      </w:r>
      <w:r>
        <w:rPr>
          <w:color w:val="auto"/>
          <w:sz w:val="28"/>
          <w:szCs w:val="28"/>
          <w:highlight w:val="none"/>
        </w:rPr>
        <w:t>在使用中遇到的问题，及时为</w:t>
      </w:r>
      <w:r>
        <w:rPr>
          <w:rFonts w:hint="eastAsia"/>
          <w:color w:val="auto"/>
          <w:sz w:val="28"/>
          <w:szCs w:val="28"/>
          <w:highlight w:val="none"/>
        </w:rPr>
        <w:t>甲方</w:t>
      </w:r>
      <w:r>
        <w:rPr>
          <w:color w:val="auto"/>
          <w:sz w:val="28"/>
          <w:szCs w:val="28"/>
          <w:highlight w:val="none"/>
        </w:rPr>
        <w:t>提出解决问题的建议。</w:t>
      </w:r>
    </w:p>
    <w:p w14:paraId="50C18CBF">
      <w:pPr>
        <w:pStyle w:val="6"/>
        <w:adjustRightInd/>
        <w:spacing w:line="579" w:lineRule="exact"/>
        <w:ind w:firstLine="560"/>
        <w:jc w:val="left"/>
        <w:rPr>
          <w:color w:val="auto"/>
          <w:sz w:val="28"/>
          <w:szCs w:val="28"/>
          <w:highlight w:val="none"/>
        </w:rPr>
      </w:pPr>
      <w:r>
        <w:rPr>
          <w:color w:val="auto"/>
          <w:sz w:val="28"/>
          <w:szCs w:val="28"/>
          <w:highlight w:val="none"/>
        </w:rPr>
        <w:t>3.</w:t>
      </w:r>
      <w:r>
        <w:rPr>
          <w:rFonts w:hint="eastAsia"/>
          <w:color w:val="auto"/>
          <w:sz w:val="28"/>
          <w:szCs w:val="28"/>
          <w:highlight w:val="none"/>
        </w:rPr>
        <w:t>甲方</w:t>
      </w:r>
      <w:r>
        <w:rPr>
          <w:color w:val="auto"/>
          <w:sz w:val="28"/>
          <w:szCs w:val="28"/>
          <w:highlight w:val="none"/>
        </w:rPr>
        <w:t>遇到使用及技术问题或突发网络安全事件，电话咨询不能解决的，</w:t>
      </w:r>
      <w:r>
        <w:rPr>
          <w:rFonts w:hint="eastAsia"/>
          <w:color w:val="auto"/>
          <w:sz w:val="28"/>
          <w:szCs w:val="28"/>
          <w:highlight w:val="none"/>
        </w:rPr>
        <w:t>乙方</w:t>
      </w:r>
      <w:r>
        <w:rPr>
          <w:color w:val="auto"/>
          <w:sz w:val="28"/>
          <w:szCs w:val="28"/>
          <w:highlight w:val="none"/>
        </w:rPr>
        <w:t>应在接到我方通知后具备安排技术人员于1小时内到达现场，以保证在发现被测信息系统受到网络攻击事件时，协助实施有效的紧急救援及恢复补救方案。</w:t>
      </w:r>
    </w:p>
    <w:p w14:paraId="30F3D1F5">
      <w:pPr>
        <w:tabs>
          <w:tab w:val="left" w:pos="6930"/>
        </w:tabs>
        <w:adjustRightInd w:val="0"/>
        <w:snapToGrid w:val="0"/>
        <w:ind w:firstLine="560"/>
        <w:rPr>
          <w:color w:val="auto"/>
          <w:szCs w:val="28"/>
          <w:highlight w:val="none"/>
        </w:rPr>
      </w:pPr>
      <w:r>
        <w:rPr>
          <w:color w:val="auto"/>
          <w:szCs w:val="28"/>
          <w:highlight w:val="none"/>
        </w:rPr>
        <w:t>4.</w:t>
      </w:r>
      <w:r>
        <w:rPr>
          <w:rFonts w:hint="eastAsia"/>
          <w:color w:val="auto"/>
          <w:szCs w:val="28"/>
          <w:highlight w:val="none"/>
        </w:rPr>
        <w:t>乙方</w:t>
      </w:r>
      <w:r>
        <w:rPr>
          <w:color w:val="auto"/>
          <w:szCs w:val="28"/>
          <w:highlight w:val="none"/>
        </w:rPr>
        <w:t>协助</w:t>
      </w:r>
      <w:r>
        <w:rPr>
          <w:rFonts w:hint="eastAsia"/>
          <w:color w:val="auto"/>
          <w:szCs w:val="28"/>
          <w:highlight w:val="none"/>
        </w:rPr>
        <w:t>甲方</w:t>
      </w:r>
      <w:r>
        <w:rPr>
          <w:color w:val="auto"/>
          <w:szCs w:val="28"/>
          <w:highlight w:val="none"/>
        </w:rPr>
        <w:t>在重大信息安全检查工作或重大网络安全安保工作中提供远程或现场相关的技术支撑服务。</w:t>
      </w:r>
    </w:p>
    <w:p w14:paraId="4C9CDEC3">
      <w:pPr>
        <w:snapToGrid w:val="0"/>
        <w:spacing w:line="550" w:lineRule="exact"/>
        <w:ind w:firstLine="560"/>
        <w:rPr>
          <w:rFonts w:ascii="方正黑体_GBK" w:eastAsia="方正黑体_GBK"/>
          <w:color w:val="auto"/>
          <w:szCs w:val="28"/>
          <w:highlight w:val="none"/>
        </w:rPr>
      </w:pPr>
      <w:r>
        <w:rPr>
          <w:rFonts w:hint="eastAsia" w:ascii="方正黑体_GBK" w:eastAsia="方正黑体_GBK"/>
          <w:color w:val="auto"/>
          <w:szCs w:val="28"/>
          <w:highlight w:val="none"/>
        </w:rPr>
        <w:t>五、</w:t>
      </w:r>
      <w:r>
        <w:rPr>
          <w:rFonts w:ascii="Times New Roman" w:hAnsi="Times New Roman" w:eastAsia="方正黑体_GBK"/>
          <w:color w:val="auto"/>
          <w:szCs w:val="20"/>
          <w:highlight w:val="none"/>
        </w:rPr>
        <w:t>付款方式</w:t>
      </w:r>
    </w:p>
    <w:p w14:paraId="0CDF8299">
      <w:pPr>
        <w:tabs>
          <w:tab w:val="left" w:pos="312"/>
        </w:tabs>
        <w:ind w:firstLine="560"/>
        <w:rPr>
          <w:color w:val="auto"/>
          <w:szCs w:val="28"/>
          <w:highlight w:val="none"/>
        </w:rPr>
      </w:pPr>
      <w:r>
        <w:rPr>
          <w:rFonts w:hint="eastAsia"/>
          <w:color w:val="auto"/>
          <w:szCs w:val="28"/>
          <w:highlight w:val="none"/>
        </w:rPr>
        <w:t>华龙网门户网站系统、1+41重庆客户端集群云平台、华龙芯智慧数字能力中台的等级保护测评、渗透测试服务、安全评估服务完成，初验通过后</w:t>
      </w:r>
      <w:r>
        <w:rPr>
          <w:color w:val="auto"/>
          <w:szCs w:val="28"/>
          <w:highlight w:val="none"/>
        </w:rPr>
        <w:t>1</w:t>
      </w:r>
      <w:r>
        <w:rPr>
          <w:rFonts w:hint="eastAsia"/>
          <w:color w:val="auto"/>
          <w:szCs w:val="28"/>
          <w:highlight w:val="none"/>
        </w:rPr>
        <w:t>0个工作日内，甲方向乙方支付XXXXXXX。剩余部分合同款项在终验完成后</w:t>
      </w:r>
      <w:r>
        <w:rPr>
          <w:color w:val="auto"/>
          <w:szCs w:val="28"/>
          <w:highlight w:val="none"/>
        </w:rPr>
        <w:t>10</w:t>
      </w:r>
      <w:r>
        <w:rPr>
          <w:rFonts w:hint="eastAsia"/>
          <w:color w:val="auto"/>
          <w:szCs w:val="28"/>
          <w:highlight w:val="none"/>
        </w:rPr>
        <w:t>个工作日内一次性支付。</w:t>
      </w:r>
    </w:p>
    <w:p w14:paraId="47411272">
      <w:pPr>
        <w:tabs>
          <w:tab w:val="left" w:pos="6930"/>
        </w:tabs>
        <w:adjustRightInd w:val="0"/>
        <w:snapToGrid w:val="0"/>
        <w:ind w:firstLine="560"/>
        <w:outlineLvl w:val="1"/>
        <w:rPr>
          <w:color w:val="auto"/>
          <w:szCs w:val="28"/>
          <w:highlight w:val="none"/>
        </w:rPr>
      </w:pPr>
      <w:r>
        <w:rPr>
          <w:rFonts w:hint="eastAsia"/>
          <w:color w:val="auto"/>
          <w:szCs w:val="28"/>
          <w:highlight w:val="none"/>
        </w:rPr>
        <w:t>2.每次支付款项前，乙方应向采购方开具合法有效的增值税发票，</w:t>
      </w:r>
      <w:r>
        <w:rPr>
          <w:color w:val="auto"/>
          <w:szCs w:val="28"/>
          <w:highlight w:val="none"/>
        </w:rPr>
        <w:t>支付款项前，</w:t>
      </w:r>
      <w:r>
        <w:rPr>
          <w:rFonts w:hint="eastAsia"/>
          <w:color w:val="auto"/>
          <w:szCs w:val="28"/>
          <w:highlight w:val="none"/>
        </w:rPr>
        <w:t>乙方</w:t>
      </w:r>
      <w:r>
        <w:rPr>
          <w:color w:val="auto"/>
          <w:szCs w:val="28"/>
          <w:highlight w:val="none"/>
        </w:rPr>
        <w:t>未提供结案材料及合法有效的等额的增值税发票的，采购商有权顺延付款时间且不承担任何逾期付款的违约责任。</w:t>
      </w:r>
    </w:p>
    <w:p w14:paraId="0775B06A">
      <w:pPr>
        <w:tabs>
          <w:tab w:val="left" w:pos="6930"/>
        </w:tabs>
        <w:adjustRightInd w:val="0"/>
        <w:snapToGrid w:val="0"/>
        <w:ind w:firstLine="560"/>
        <w:rPr>
          <w:color w:val="auto"/>
          <w:szCs w:val="28"/>
          <w:highlight w:val="none"/>
        </w:rPr>
      </w:pPr>
      <w:r>
        <w:rPr>
          <w:rFonts w:hint="eastAsia"/>
          <w:color w:val="auto"/>
          <w:szCs w:val="28"/>
          <w:highlight w:val="none"/>
        </w:rPr>
        <w:t>3.当国家法定增值税税率发生变更，甲方和乙方应约定以不含税价格不变作为基准，调整增值税税额。</w:t>
      </w:r>
    </w:p>
    <w:p w14:paraId="459F86F8">
      <w:pPr>
        <w:pStyle w:val="8"/>
        <w:spacing w:after="0" w:line="550" w:lineRule="exact"/>
        <w:ind w:firstLine="560"/>
        <w:jc w:val="left"/>
        <w:rPr>
          <w:rFonts w:ascii="Times New Roman" w:hAnsi="Times New Roman"/>
          <w:color w:val="auto"/>
          <w:highlight w:val="none"/>
        </w:rPr>
      </w:pPr>
      <w:r>
        <w:rPr>
          <w:rFonts w:hint="eastAsia" w:ascii="Times New Roman" w:hAnsi="Times New Roman"/>
          <w:color w:val="auto"/>
          <w:highlight w:val="none"/>
        </w:rPr>
        <w:t>4</w:t>
      </w:r>
      <w:r>
        <w:rPr>
          <w:rFonts w:ascii="Times New Roman" w:hAnsi="Times New Roman"/>
          <w:color w:val="auto"/>
          <w:highlight w:val="none"/>
        </w:rPr>
        <w:t>.每次支付款项前，</w:t>
      </w:r>
      <w:r>
        <w:rPr>
          <w:rFonts w:hint="eastAsia" w:ascii="Times New Roman" w:hAnsi="Times New Roman"/>
          <w:color w:val="auto"/>
          <w:highlight w:val="none"/>
        </w:rPr>
        <w:t>乙方</w:t>
      </w:r>
      <w:r>
        <w:rPr>
          <w:rFonts w:ascii="Times New Roman" w:hAnsi="Times New Roman"/>
          <w:color w:val="auto"/>
          <w:highlight w:val="none"/>
        </w:rPr>
        <w:t>应向采购方开具合法有效的增值税发票</w:t>
      </w:r>
      <w:r>
        <w:rPr>
          <w:rFonts w:hint="eastAsia" w:ascii="Times New Roman" w:hAnsi="Times New Roman"/>
          <w:color w:val="auto"/>
          <w:highlight w:val="none"/>
        </w:rPr>
        <w:t>。若</w:t>
      </w:r>
      <w:r>
        <w:rPr>
          <w:rFonts w:ascii="Times New Roman" w:hAnsi="Times New Roman"/>
          <w:color w:val="auto"/>
          <w:highlight w:val="none"/>
        </w:rPr>
        <w:t>支付款项前，</w:t>
      </w:r>
      <w:r>
        <w:rPr>
          <w:rFonts w:hint="eastAsia" w:ascii="Times New Roman" w:hAnsi="Times New Roman"/>
          <w:color w:val="auto"/>
          <w:highlight w:val="none"/>
        </w:rPr>
        <w:t>乙方</w:t>
      </w:r>
      <w:r>
        <w:rPr>
          <w:rFonts w:ascii="Times New Roman" w:hAnsi="Times New Roman"/>
          <w:color w:val="auto"/>
          <w:highlight w:val="none"/>
        </w:rPr>
        <w:t>未提供合法有效的</w:t>
      </w:r>
      <w:r>
        <w:rPr>
          <w:rFonts w:hint="eastAsia" w:ascii="Times New Roman" w:hAnsi="Times New Roman"/>
          <w:color w:val="auto"/>
          <w:highlight w:val="none"/>
        </w:rPr>
        <w:t>等额</w:t>
      </w:r>
      <w:r>
        <w:rPr>
          <w:rFonts w:ascii="Times New Roman" w:hAnsi="Times New Roman"/>
          <w:color w:val="auto"/>
          <w:highlight w:val="none"/>
        </w:rPr>
        <w:t>增值税</w:t>
      </w:r>
      <w:r>
        <w:rPr>
          <w:rFonts w:hint="eastAsia" w:ascii="Times New Roman" w:hAnsi="Times New Roman"/>
          <w:color w:val="auto"/>
          <w:highlight w:val="none"/>
        </w:rPr>
        <w:t>发票</w:t>
      </w:r>
      <w:r>
        <w:rPr>
          <w:rFonts w:ascii="Times New Roman" w:hAnsi="Times New Roman"/>
          <w:color w:val="auto"/>
          <w:highlight w:val="none"/>
        </w:rPr>
        <w:t>，</w:t>
      </w:r>
      <w:r>
        <w:rPr>
          <w:rFonts w:hint="eastAsia" w:ascii="Times New Roman" w:hAnsi="Times New Roman"/>
          <w:color w:val="auto"/>
          <w:highlight w:val="none"/>
        </w:rPr>
        <w:t>甲方</w:t>
      </w:r>
      <w:r>
        <w:rPr>
          <w:rFonts w:ascii="Times New Roman" w:hAnsi="Times New Roman"/>
          <w:color w:val="auto"/>
          <w:highlight w:val="none"/>
        </w:rPr>
        <w:t>有权顺延付款时间且不承担任何逾期付款的违约责任。</w:t>
      </w:r>
    </w:p>
    <w:p w14:paraId="2B02E402">
      <w:pPr>
        <w:pStyle w:val="15"/>
        <w:ind w:firstLine="0" w:firstLineChars="0"/>
        <w:rPr>
          <w:color w:val="auto"/>
          <w:highlight w:val="none"/>
        </w:rPr>
      </w:pPr>
      <w:r>
        <w:rPr>
          <w:rFonts w:hint="eastAsia"/>
          <w:color w:val="auto"/>
          <w:highlight w:val="none"/>
        </w:rPr>
        <w:t>XXXXXXXXXXXXXXXXXXXXXXXXXXXX</w:t>
      </w:r>
    </w:p>
    <w:p w14:paraId="5436040F">
      <w:pPr>
        <w:ind w:firstLine="0" w:firstLineChars="0"/>
        <w:rPr>
          <w:color w:val="auto"/>
          <w:highlight w:val="none"/>
        </w:rPr>
      </w:pPr>
      <w:r>
        <w:rPr>
          <w:rFonts w:hint="eastAsia" w:ascii="Times New Roman"/>
          <w:color w:val="auto"/>
          <w:highlight w:val="none"/>
        </w:rPr>
        <w:t>XXXXXXXXXXXXXXXXXXXXXXXXXXXX</w:t>
      </w:r>
    </w:p>
    <w:bookmarkEnd w:id="146"/>
    <w:p w14:paraId="72AECAD5">
      <w:pPr>
        <w:spacing w:line="540" w:lineRule="exact"/>
        <w:ind w:firstLine="0" w:firstLineChars="0"/>
        <w:rPr>
          <w:rFonts w:ascii="Times New Roman" w:hAnsi="Times New Roman" w:eastAsia="仿宋"/>
          <w:color w:val="auto"/>
          <w:highlight w:val="none"/>
        </w:rPr>
      </w:pPr>
      <w:r>
        <w:rPr>
          <w:rFonts w:ascii="Times New Roman" w:hAnsi="Times New Roman" w:eastAsia="仿宋"/>
          <w:b/>
          <w:bCs/>
          <w:color w:val="auto"/>
          <w:highlight w:val="none"/>
        </w:rPr>
        <w:t>（</w:t>
      </w:r>
      <w:r>
        <w:rPr>
          <w:rFonts w:ascii="Times New Roman" w:hAnsi="Times New Roman" w:eastAsia="仿宋"/>
          <w:b/>
          <w:bCs/>
          <w:color w:val="auto"/>
          <w:spacing w:val="-17"/>
          <w:highlight w:val="none"/>
        </w:rPr>
        <w:t>本篇内容仅作参考，最终合同条款与合同以</w:t>
      </w:r>
      <w:r>
        <w:rPr>
          <w:rFonts w:hint="eastAsia" w:ascii="Times New Roman" w:hAnsi="Times New Roman" w:eastAsia="仿宋"/>
          <w:b/>
          <w:bCs/>
          <w:color w:val="auto"/>
          <w:spacing w:val="-17"/>
          <w:highlight w:val="none"/>
        </w:rPr>
        <w:t>采购</w:t>
      </w:r>
      <w:r>
        <w:rPr>
          <w:rFonts w:ascii="Times New Roman" w:hAnsi="Times New Roman" w:eastAsia="仿宋"/>
          <w:b/>
          <w:bCs/>
          <w:color w:val="auto"/>
          <w:spacing w:val="-17"/>
          <w:highlight w:val="none"/>
        </w:rPr>
        <w:t>人与中</w:t>
      </w:r>
      <w:r>
        <w:rPr>
          <w:rFonts w:hint="eastAsia" w:ascii="Times New Roman" w:hAnsi="Times New Roman" w:eastAsia="仿宋"/>
          <w:b/>
          <w:bCs/>
          <w:color w:val="auto"/>
          <w:spacing w:val="-17"/>
          <w:highlight w:val="none"/>
        </w:rPr>
        <w:t>选</w:t>
      </w:r>
      <w:r>
        <w:rPr>
          <w:rFonts w:ascii="Times New Roman" w:hAnsi="Times New Roman" w:eastAsia="仿宋"/>
          <w:b/>
          <w:bCs/>
          <w:color w:val="auto"/>
          <w:spacing w:val="-17"/>
          <w:highlight w:val="none"/>
        </w:rPr>
        <w:t>人双方沟通协商确定。</w:t>
      </w:r>
      <w:r>
        <w:rPr>
          <w:rFonts w:ascii="Times New Roman" w:hAnsi="Times New Roman" w:eastAsia="仿宋"/>
          <w:b/>
          <w:bCs/>
          <w:color w:val="auto"/>
          <w:highlight w:val="none"/>
        </w:rPr>
        <w:t>）</w:t>
      </w:r>
    </w:p>
    <w:bookmarkEnd w:id="121"/>
    <w:p w14:paraId="6F39DB87">
      <w:pPr>
        <w:pStyle w:val="2"/>
        <w:spacing w:before="0" w:after="0" w:line="499" w:lineRule="exact"/>
        <w:ind w:firstLine="0" w:firstLineChars="0"/>
        <w:jc w:val="center"/>
        <w:rPr>
          <w:rFonts w:ascii="Times New Roman" w:hAnsi="Times New Roman" w:eastAsia="方正小标宋_GBK" w:cs="Times New Roman"/>
          <w:b/>
          <w:bCs/>
          <w:color w:val="auto"/>
          <w:kern w:val="44"/>
          <w:sz w:val="32"/>
          <w:szCs w:val="44"/>
          <w:highlight w:val="none"/>
        </w:rPr>
      </w:pPr>
      <w:bookmarkStart w:id="147" w:name="_Toc105081939"/>
      <w:bookmarkStart w:id="148" w:name="_Toc2413"/>
      <w:bookmarkStart w:id="149" w:name="_Toc97027585"/>
      <w:bookmarkStart w:id="150" w:name="_Toc194572021"/>
      <w:r>
        <w:rPr>
          <w:rFonts w:ascii="Times New Roman" w:hAnsi="Times New Roman" w:eastAsia="方正小标宋_GBK" w:cs="Times New Roman"/>
          <w:b/>
          <w:bCs/>
          <w:color w:val="auto"/>
          <w:kern w:val="44"/>
          <w:sz w:val="32"/>
          <w:szCs w:val="44"/>
          <w:highlight w:val="none"/>
        </w:rPr>
        <w:t>第七篇 参选文件格式</w:t>
      </w:r>
      <w:bookmarkEnd w:id="147"/>
      <w:bookmarkEnd w:id="148"/>
      <w:bookmarkEnd w:id="149"/>
      <w:bookmarkEnd w:id="150"/>
    </w:p>
    <w:p w14:paraId="19A7CDC5">
      <w:pPr>
        <w:snapToGrid w:val="0"/>
        <w:spacing w:line="499" w:lineRule="exact"/>
        <w:ind w:firstLine="560"/>
        <w:jc w:val="center"/>
        <w:rPr>
          <w:rFonts w:ascii="Times New Roman" w:hAnsi="Times New Roman" w:eastAsia="仿宋"/>
          <w:color w:val="auto"/>
          <w:szCs w:val="28"/>
          <w:highlight w:val="none"/>
        </w:rPr>
      </w:pPr>
      <w:r>
        <w:rPr>
          <w:rFonts w:ascii="Times New Roman" w:hAnsi="Times New Roman" w:eastAsia="仿宋"/>
          <w:color w:val="auto"/>
          <w:szCs w:val="28"/>
          <w:highlight w:val="none"/>
        </w:rPr>
        <w:t>（请按本篇要求提供，包含但不限于以下格式内容）</w:t>
      </w:r>
    </w:p>
    <w:p w14:paraId="061823A5">
      <w:pPr>
        <w:spacing w:line="539" w:lineRule="exact"/>
        <w:ind w:firstLine="0" w:firstLineChars="0"/>
        <w:rPr>
          <w:rFonts w:ascii="Times New Roman" w:hAnsi="Times New Roman" w:eastAsia="仿宋"/>
          <w:b/>
          <w:bCs/>
          <w:color w:val="auto"/>
          <w:highlight w:val="none"/>
        </w:rPr>
      </w:pPr>
      <w:bookmarkStart w:id="151" w:name="_Toc97027586"/>
      <w:bookmarkStart w:id="152" w:name="_Toc86359002"/>
      <w:bookmarkStart w:id="153" w:name="_Toc105081940"/>
      <w:bookmarkStart w:id="154" w:name="_Toc31119"/>
      <w:r>
        <w:rPr>
          <w:rFonts w:ascii="Times New Roman" w:hAnsi="Times New Roman" w:eastAsia="仿宋"/>
          <w:b/>
          <w:bCs/>
          <w:color w:val="auto"/>
          <w:highlight w:val="none"/>
        </w:rPr>
        <w:t>一、经济文件</w:t>
      </w:r>
    </w:p>
    <w:p w14:paraId="671C2623">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w:t>
      </w:r>
      <w:r>
        <w:rPr>
          <w:rFonts w:hint="eastAsia" w:ascii="Times New Roman" w:hAnsi="Times New Roman" w:eastAsia="仿宋"/>
          <w:color w:val="auto"/>
          <w:highlight w:val="none"/>
        </w:rPr>
        <w:t>比选</w:t>
      </w:r>
      <w:r>
        <w:rPr>
          <w:rFonts w:ascii="Times New Roman" w:hAnsi="Times New Roman" w:eastAsia="仿宋"/>
          <w:color w:val="auto"/>
          <w:highlight w:val="none"/>
        </w:rPr>
        <w:t>一览表</w:t>
      </w:r>
    </w:p>
    <w:p w14:paraId="3DF00B92">
      <w:pPr>
        <w:pStyle w:val="8"/>
        <w:spacing w:line="539" w:lineRule="exact"/>
        <w:ind w:firstLine="0" w:firstLineChars="0"/>
        <w:rPr>
          <w:rFonts w:eastAsia="仿宋"/>
          <w:color w:val="auto"/>
          <w:highlight w:val="none"/>
        </w:rPr>
      </w:pPr>
      <w:r>
        <w:rPr>
          <w:rFonts w:hint="eastAsia" w:ascii="Times New Roman" w:hAnsi="Times New Roman" w:eastAsia="仿宋"/>
          <w:color w:val="auto"/>
          <w:highlight w:val="none"/>
        </w:rPr>
        <w:t>2.报价明细表</w:t>
      </w:r>
    </w:p>
    <w:p w14:paraId="3CF8A75F">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二、服务</w:t>
      </w:r>
      <w:r>
        <w:rPr>
          <w:rFonts w:hint="eastAsia" w:ascii="Times New Roman" w:hAnsi="Times New Roman" w:eastAsia="仿宋"/>
          <w:b/>
          <w:bCs/>
          <w:color w:val="auto"/>
          <w:highlight w:val="none"/>
        </w:rPr>
        <w:t>/</w:t>
      </w:r>
      <w:r>
        <w:rPr>
          <w:rFonts w:ascii="Times New Roman" w:hAnsi="Times New Roman" w:eastAsia="仿宋"/>
          <w:b/>
          <w:bCs/>
          <w:color w:val="auto"/>
          <w:highlight w:val="none"/>
        </w:rPr>
        <w:t>技术文件</w:t>
      </w:r>
    </w:p>
    <w:p w14:paraId="544BC699">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w:t>
      </w:r>
      <w:r>
        <w:rPr>
          <w:rFonts w:hint="eastAsia" w:ascii="Times New Roman" w:hAnsi="Times New Roman" w:eastAsia="仿宋"/>
          <w:color w:val="auto"/>
          <w:highlight w:val="none"/>
        </w:rPr>
        <w:t>服务/技术要求应答承诺书</w:t>
      </w:r>
    </w:p>
    <w:p w14:paraId="0448708B">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2.其他服务</w:t>
      </w:r>
      <w:r>
        <w:rPr>
          <w:rStyle w:val="23"/>
          <w:rFonts w:hint="eastAsia" w:ascii="Times New Roman" w:hAnsi="Times New Roman" w:eastAsia="仿宋"/>
          <w:color w:val="auto"/>
          <w:highlight w:val="none"/>
          <w:u w:val="none"/>
        </w:rPr>
        <w:t>/</w:t>
      </w:r>
      <w:r>
        <w:rPr>
          <w:rFonts w:ascii="Times New Roman" w:hAnsi="Times New Roman" w:eastAsia="仿宋"/>
          <w:color w:val="auto"/>
          <w:highlight w:val="none"/>
        </w:rPr>
        <w:t>技术部分资料</w:t>
      </w:r>
    </w:p>
    <w:p w14:paraId="6A1242E9">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三、商务文件</w:t>
      </w:r>
    </w:p>
    <w:p w14:paraId="599DCA3F">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1.比选函</w:t>
      </w:r>
    </w:p>
    <w:p w14:paraId="1564B86B">
      <w:pPr>
        <w:widowControl/>
        <w:numPr>
          <w:ilvl w:val="255"/>
          <w:numId w:val="0"/>
        </w:numPr>
        <w:spacing w:line="539" w:lineRule="exact"/>
        <w:jc w:val="left"/>
        <w:rPr>
          <w:rFonts w:ascii="Times New Roman" w:hAnsi="Times New Roman" w:eastAsia="仿宋"/>
          <w:color w:val="auto"/>
          <w:highlight w:val="none"/>
        </w:rPr>
      </w:pPr>
      <w:r>
        <w:rPr>
          <w:rFonts w:hint="eastAsia" w:ascii="Times New Roman" w:hAnsi="Times New Roman" w:eastAsia="仿宋"/>
          <w:color w:val="auto"/>
          <w:highlight w:val="none"/>
        </w:rPr>
        <w:t>2.商务要求应答承诺书</w:t>
      </w:r>
    </w:p>
    <w:p w14:paraId="54039911">
      <w:pPr>
        <w:widowControl/>
        <w:spacing w:line="539" w:lineRule="exact"/>
        <w:ind w:firstLine="0" w:firstLineChars="0"/>
        <w:jc w:val="left"/>
        <w:rPr>
          <w:rFonts w:ascii="Times New Roman" w:hAnsi="Times New Roman" w:eastAsia="仿宋"/>
          <w:color w:val="auto"/>
          <w:highlight w:val="none"/>
        </w:rPr>
      </w:pPr>
      <w:r>
        <w:rPr>
          <w:rFonts w:ascii="Times New Roman" w:hAnsi="Times New Roman" w:eastAsia="仿宋"/>
          <w:color w:val="auto"/>
          <w:highlight w:val="none"/>
        </w:rPr>
        <w:t>3.其他商务部分资料</w:t>
      </w:r>
    </w:p>
    <w:p w14:paraId="291403DC">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四、其他与项目有关的资料</w:t>
      </w:r>
    </w:p>
    <w:p w14:paraId="7FE4CADC">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五、资格文件</w:t>
      </w:r>
    </w:p>
    <w:p w14:paraId="0747661E">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1.法人营业执照（副本）或事业单位法人证书（副本）或个体工商户营业执照或有效的自然人身份证明或社会团体法人登记证书复印件；</w:t>
      </w:r>
    </w:p>
    <w:p w14:paraId="59253AAE">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2.法定代表人身份证明书（格式）；</w:t>
      </w:r>
    </w:p>
    <w:p w14:paraId="0448FE61">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3.法定代表人授权委托书（格式）；</w:t>
      </w:r>
    </w:p>
    <w:p w14:paraId="7F53888E">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4.基本资格条件承诺函（格式）</w:t>
      </w:r>
      <w:r>
        <w:rPr>
          <w:rFonts w:hint="eastAsia" w:ascii="Times New Roman" w:hAnsi="Times New Roman" w:eastAsia="仿宋"/>
          <w:color w:val="auto"/>
          <w:highlight w:val="none"/>
        </w:rPr>
        <w:t>；</w:t>
      </w:r>
    </w:p>
    <w:p w14:paraId="42AAAE11">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5.承诺书（格式自拟）</w:t>
      </w:r>
      <w:r>
        <w:rPr>
          <w:rFonts w:hint="eastAsia" w:ascii="Times New Roman" w:hAnsi="Times New Roman" w:eastAsia="仿宋"/>
          <w:color w:val="auto"/>
          <w:highlight w:val="none"/>
        </w:rPr>
        <w:t>；</w:t>
      </w:r>
    </w:p>
    <w:p w14:paraId="28E48D08">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6.诚信声明</w:t>
      </w:r>
      <w:r>
        <w:rPr>
          <w:rFonts w:hint="eastAsia" w:ascii="Times New Roman" w:hAnsi="Times New Roman" w:eastAsia="仿宋"/>
          <w:color w:val="auto"/>
          <w:highlight w:val="none"/>
        </w:rPr>
        <w:t>；</w:t>
      </w:r>
    </w:p>
    <w:p w14:paraId="0A9822E6">
      <w:pPr>
        <w:spacing w:line="240" w:lineRule="auto"/>
        <w:ind w:firstLine="0" w:firstLineChars="0"/>
        <w:rPr>
          <w:rFonts w:hint="eastAsia" w:ascii="Times New Roman" w:hAnsi="Times New Roman"/>
          <w:color w:val="auto"/>
          <w:szCs w:val="28"/>
          <w:highlight w:val="none"/>
        </w:rPr>
      </w:pPr>
      <w:r>
        <w:rPr>
          <w:rFonts w:hint="eastAsia" w:ascii="Times New Roman" w:hAnsi="Times New Roman"/>
          <w:color w:val="auto"/>
          <w:szCs w:val="28"/>
          <w:highlight w:val="none"/>
        </w:rPr>
        <w:t>7.《网络安全服务认证证书等级保护测评服务认证》。</w:t>
      </w:r>
    </w:p>
    <w:p w14:paraId="0A149895">
      <w:pPr>
        <w:spacing w:line="240" w:lineRule="auto"/>
        <w:ind w:firstLine="0" w:firstLineChars="0"/>
        <w:rPr>
          <w:rFonts w:hint="eastAsia" w:ascii="Times New Roman" w:hAnsi="Times New Roman"/>
          <w:color w:val="auto"/>
          <w:szCs w:val="28"/>
          <w:highlight w:val="none"/>
        </w:rPr>
      </w:pPr>
    </w:p>
    <w:bookmarkEnd w:id="151"/>
    <w:bookmarkEnd w:id="152"/>
    <w:bookmarkEnd w:id="153"/>
    <w:bookmarkEnd w:id="154"/>
    <w:p w14:paraId="54E78811">
      <w:pPr>
        <w:widowControl/>
        <w:ind w:firstLine="0" w:firstLineChars="0"/>
        <w:jc w:val="left"/>
        <w:rPr>
          <w:rFonts w:ascii="Times New Roman" w:hAnsi="Times New Roman" w:eastAsia="仿宋"/>
          <w:b/>
          <w:bCs/>
          <w:color w:val="auto"/>
          <w:szCs w:val="28"/>
          <w:highlight w:val="none"/>
        </w:rPr>
      </w:pPr>
      <w:r>
        <w:rPr>
          <w:rFonts w:ascii="Times New Roman" w:hAnsi="Times New Roman" w:eastAsia="仿宋"/>
          <w:b/>
          <w:bCs/>
          <w:color w:val="auto"/>
          <w:szCs w:val="28"/>
          <w:highlight w:val="none"/>
        </w:rPr>
        <w:t>一、经济文件</w:t>
      </w:r>
    </w:p>
    <w:p w14:paraId="515BD5F5">
      <w:pPr>
        <w:widowControl/>
        <w:ind w:firstLine="0" w:firstLineChars="0"/>
        <w:jc w:val="left"/>
        <w:rPr>
          <w:rFonts w:ascii="Times New Roman" w:hAnsi="Times New Roman" w:eastAsia="仿宋"/>
          <w:color w:val="auto"/>
          <w:szCs w:val="28"/>
          <w:highlight w:val="none"/>
        </w:rPr>
      </w:pPr>
      <w:r>
        <w:rPr>
          <w:rFonts w:ascii="Times New Roman" w:hAnsi="Times New Roman" w:eastAsia="仿宋"/>
          <w:color w:val="auto"/>
          <w:szCs w:val="28"/>
          <w:highlight w:val="none"/>
        </w:rPr>
        <w:t>1.</w:t>
      </w:r>
      <w:r>
        <w:rPr>
          <w:rFonts w:hint="eastAsia" w:ascii="Times New Roman" w:hAnsi="Times New Roman" w:eastAsia="仿宋"/>
          <w:color w:val="auto"/>
          <w:szCs w:val="28"/>
          <w:highlight w:val="none"/>
        </w:rPr>
        <w:t>比选</w:t>
      </w:r>
      <w:r>
        <w:rPr>
          <w:rFonts w:ascii="Times New Roman" w:hAnsi="Times New Roman" w:eastAsia="仿宋"/>
          <w:color w:val="auto"/>
          <w:szCs w:val="28"/>
          <w:highlight w:val="none"/>
        </w:rPr>
        <w:t>一览表</w:t>
      </w:r>
    </w:p>
    <w:p w14:paraId="4B2BF36B">
      <w:pPr>
        <w:snapToGrid w:val="0"/>
        <w:spacing w:line="500" w:lineRule="exact"/>
        <w:ind w:firstLine="640"/>
        <w:jc w:val="center"/>
        <w:rPr>
          <w:rFonts w:ascii="Times New Roman" w:hAnsi="Times New Roman" w:eastAsia="仿宋"/>
          <w:color w:val="auto"/>
          <w:sz w:val="32"/>
          <w:szCs w:val="28"/>
          <w:highlight w:val="none"/>
        </w:rPr>
      </w:pPr>
      <w:bookmarkStart w:id="155" w:name="_Toc10164"/>
      <w:r>
        <w:rPr>
          <w:rFonts w:hint="eastAsia" w:ascii="Times New Roman" w:hAnsi="Times New Roman" w:eastAsia="仿宋"/>
          <w:color w:val="auto"/>
          <w:sz w:val="32"/>
          <w:szCs w:val="28"/>
          <w:highlight w:val="none"/>
        </w:rPr>
        <w:t>比选</w:t>
      </w:r>
      <w:r>
        <w:rPr>
          <w:rFonts w:ascii="Times New Roman" w:hAnsi="Times New Roman" w:eastAsia="仿宋"/>
          <w:color w:val="auto"/>
          <w:sz w:val="32"/>
          <w:szCs w:val="28"/>
          <w:highlight w:val="none"/>
        </w:rPr>
        <w:t>一览表</w:t>
      </w:r>
    </w:p>
    <w:p w14:paraId="70261A6C">
      <w:pPr>
        <w:spacing w:line="500" w:lineRule="exact"/>
        <w:ind w:firstLine="280" w:firstLineChars="100"/>
        <w:rPr>
          <w:rFonts w:ascii="Times New Roman" w:hAnsi="Times New Roman" w:eastAsia="仿宋"/>
          <w:color w:val="auto"/>
          <w:szCs w:val="28"/>
          <w:highlight w:val="none"/>
        </w:rPr>
      </w:pPr>
      <w:r>
        <w:rPr>
          <w:rFonts w:ascii="Times New Roman" w:hAnsi="Times New Roman" w:eastAsia="仿宋"/>
          <w:color w:val="auto"/>
          <w:szCs w:val="28"/>
          <w:highlight w:val="none"/>
        </w:rPr>
        <w:t xml:space="preserve">比选项目名称：                                                 </w:t>
      </w:r>
    </w:p>
    <w:tbl>
      <w:tblPr>
        <w:tblStyle w:val="19"/>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3617"/>
        <w:gridCol w:w="4531"/>
      </w:tblGrid>
      <w:tr w14:paraId="1FBA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14:paraId="00D0972D">
            <w:pPr>
              <w:spacing w:line="400" w:lineRule="exact"/>
              <w:ind w:firstLine="0" w:firstLineChars="0"/>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参选人名称</w:t>
            </w:r>
          </w:p>
        </w:tc>
        <w:tc>
          <w:tcPr>
            <w:tcW w:w="8148" w:type="dxa"/>
            <w:gridSpan w:val="2"/>
            <w:tcBorders>
              <w:top w:val="single" w:color="auto" w:sz="4" w:space="0"/>
              <w:left w:val="nil"/>
              <w:bottom w:val="single" w:color="auto" w:sz="4" w:space="0"/>
              <w:right w:val="single" w:color="auto" w:sz="4" w:space="0"/>
            </w:tcBorders>
            <w:vAlign w:val="center"/>
          </w:tcPr>
          <w:p w14:paraId="5D44493A">
            <w:pPr>
              <w:spacing w:line="500" w:lineRule="exact"/>
              <w:ind w:firstLine="440"/>
              <w:jc w:val="center"/>
              <w:rPr>
                <w:rFonts w:ascii="Times New Roman" w:hAnsi="Times New Roman" w:eastAsia="仿宋"/>
                <w:color w:val="auto"/>
                <w:sz w:val="22"/>
                <w:szCs w:val="22"/>
                <w:highlight w:val="none"/>
              </w:rPr>
            </w:pPr>
          </w:p>
        </w:tc>
      </w:tr>
      <w:tr w14:paraId="0DDB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484" w:type="dxa"/>
            <w:tcBorders>
              <w:top w:val="single" w:color="auto" w:sz="4" w:space="0"/>
              <w:left w:val="single" w:color="auto" w:sz="4" w:space="0"/>
              <w:right w:val="single" w:color="auto" w:sz="4" w:space="0"/>
            </w:tcBorders>
            <w:vAlign w:val="center"/>
          </w:tcPr>
          <w:p w14:paraId="4065D641">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序号</w:t>
            </w:r>
          </w:p>
        </w:tc>
        <w:tc>
          <w:tcPr>
            <w:tcW w:w="3617" w:type="dxa"/>
            <w:tcBorders>
              <w:top w:val="single" w:color="auto" w:sz="4" w:space="0"/>
              <w:left w:val="single" w:color="auto" w:sz="4" w:space="0"/>
              <w:right w:val="single" w:color="auto" w:sz="4" w:space="0"/>
            </w:tcBorders>
            <w:vAlign w:val="center"/>
          </w:tcPr>
          <w:p w14:paraId="1DD95634">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项目名称</w:t>
            </w:r>
          </w:p>
        </w:tc>
        <w:tc>
          <w:tcPr>
            <w:tcW w:w="4531" w:type="dxa"/>
            <w:tcBorders>
              <w:top w:val="single" w:color="auto" w:sz="4" w:space="0"/>
              <w:left w:val="single" w:color="auto" w:sz="4" w:space="0"/>
              <w:right w:val="single" w:color="auto" w:sz="4" w:space="0"/>
            </w:tcBorders>
            <w:vAlign w:val="center"/>
          </w:tcPr>
          <w:p w14:paraId="35CCD385">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服务期</w:t>
            </w:r>
          </w:p>
        </w:tc>
      </w:tr>
      <w:tr w14:paraId="4F8E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484" w:type="dxa"/>
            <w:tcBorders>
              <w:top w:val="single" w:color="auto" w:sz="4" w:space="0"/>
              <w:left w:val="single" w:color="auto" w:sz="4" w:space="0"/>
              <w:right w:val="single" w:color="auto" w:sz="4" w:space="0"/>
            </w:tcBorders>
            <w:vAlign w:val="center"/>
          </w:tcPr>
          <w:p w14:paraId="35C5A8E5">
            <w:pPr>
              <w:spacing w:line="400" w:lineRule="exact"/>
              <w:ind w:firstLine="0" w:firstLineChars="0"/>
              <w:jc w:val="center"/>
              <w:rPr>
                <w:rFonts w:ascii="Times New Roman" w:hAnsi="Times New Roman" w:eastAsia="仿宋"/>
                <w:color w:val="auto"/>
                <w:sz w:val="22"/>
                <w:szCs w:val="22"/>
                <w:highlight w:val="none"/>
              </w:rPr>
            </w:pPr>
          </w:p>
        </w:tc>
        <w:tc>
          <w:tcPr>
            <w:tcW w:w="3617" w:type="dxa"/>
            <w:tcBorders>
              <w:top w:val="single" w:color="auto" w:sz="4" w:space="0"/>
              <w:left w:val="single" w:color="auto" w:sz="4" w:space="0"/>
              <w:right w:val="single" w:color="auto" w:sz="4" w:space="0"/>
            </w:tcBorders>
            <w:vAlign w:val="center"/>
          </w:tcPr>
          <w:p w14:paraId="7AED2816">
            <w:pPr>
              <w:spacing w:line="400" w:lineRule="exact"/>
              <w:ind w:firstLine="0" w:firstLineChars="0"/>
              <w:jc w:val="center"/>
              <w:rPr>
                <w:rFonts w:ascii="Times New Roman" w:hAnsi="Times New Roman" w:eastAsia="仿宋"/>
                <w:color w:val="auto"/>
                <w:sz w:val="22"/>
                <w:szCs w:val="22"/>
                <w:highlight w:val="none"/>
              </w:rPr>
            </w:pPr>
          </w:p>
        </w:tc>
        <w:tc>
          <w:tcPr>
            <w:tcW w:w="4531" w:type="dxa"/>
            <w:tcBorders>
              <w:top w:val="single" w:color="auto" w:sz="4" w:space="0"/>
              <w:left w:val="single" w:color="auto" w:sz="4" w:space="0"/>
              <w:right w:val="single" w:color="auto" w:sz="4" w:space="0"/>
            </w:tcBorders>
            <w:vAlign w:val="center"/>
          </w:tcPr>
          <w:p w14:paraId="7727DE75">
            <w:pPr>
              <w:spacing w:line="400" w:lineRule="exact"/>
              <w:ind w:firstLine="0" w:firstLineChars="0"/>
              <w:jc w:val="center"/>
              <w:rPr>
                <w:rFonts w:ascii="Times New Roman" w:hAnsi="Times New Roman" w:eastAsia="仿宋"/>
                <w:color w:val="auto"/>
                <w:sz w:val="22"/>
                <w:szCs w:val="22"/>
                <w:highlight w:val="none"/>
              </w:rPr>
            </w:pPr>
          </w:p>
        </w:tc>
      </w:tr>
      <w:tr w14:paraId="48CB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9632" w:type="dxa"/>
            <w:gridSpan w:val="3"/>
            <w:tcBorders>
              <w:top w:val="single" w:color="auto" w:sz="4" w:space="0"/>
              <w:left w:val="single" w:color="auto" w:sz="4" w:space="0"/>
              <w:right w:val="single" w:color="auto" w:sz="4" w:space="0"/>
            </w:tcBorders>
            <w:vAlign w:val="center"/>
          </w:tcPr>
          <w:p w14:paraId="1ABFBD3B">
            <w:pPr>
              <w:pStyle w:val="12"/>
              <w:spacing w:line="500" w:lineRule="exact"/>
              <w:ind w:left="0" w:leftChars="0" w:firstLine="0" w:firstLineChars="0"/>
              <w:jc w:val="center"/>
              <w:rPr>
                <w:rFonts w:ascii="Times New Roman" w:hAnsi="Times New Roman" w:eastAsia="仿宋" w:cs="Times New Roman"/>
                <w:b/>
                <w:color w:val="auto"/>
                <w:sz w:val="22"/>
                <w:szCs w:val="22"/>
                <w:highlight w:val="none"/>
              </w:rPr>
            </w:pPr>
            <w:r>
              <w:rPr>
                <w:rFonts w:ascii="Times New Roman" w:hAnsi="Times New Roman" w:eastAsia="仿宋" w:cs="Times New Roman"/>
                <w:b/>
                <w:color w:val="auto"/>
                <w:sz w:val="22"/>
                <w:szCs w:val="22"/>
                <w:highlight w:val="none"/>
              </w:rPr>
              <w:t>比选报价</w:t>
            </w:r>
          </w:p>
        </w:tc>
      </w:tr>
      <w:tr w14:paraId="25D5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1484" w:type="dxa"/>
            <w:vMerge w:val="restart"/>
            <w:tcBorders>
              <w:left w:val="single" w:color="auto" w:sz="4" w:space="0"/>
              <w:right w:val="single" w:color="auto" w:sz="4" w:space="0"/>
            </w:tcBorders>
            <w:vAlign w:val="center"/>
          </w:tcPr>
          <w:p w14:paraId="37D254F6">
            <w:pPr>
              <w:pStyle w:val="12"/>
              <w:spacing w:line="500" w:lineRule="exact"/>
              <w:ind w:left="0" w:leftChars="0" w:firstLine="0" w:firstLineChars="0"/>
              <w:jc w:val="center"/>
              <w:rPr>
                <w:rFonts w:ascii="Times New Roman" w:hAnsi="Times New Roman" w:eastAsia="仿宋" w:cs="Times New Roman"/>
                <w:b/>
                <w:color w:val="auto"/>
                <w:sz w:val="22"/>
                <w:szCs w:val="22"/>
                <w:highlight w:val="none"/>
              </w:rPr>
            </w:pPr>
            <w:r>
              <w:rPr>
                <w:rFonts w:ascii="Times New Roman" w:hAnsi="Times New Roman" w:eastAsia="仿宋" w:cs="Times New Roman"/>
                <w:b/>
                <w:color w:val="auto"/>
                <w:sz w:val="22"/>
                <w:szCs w:val="22"/>
                <w:highlight w:val="none"/>
              </w:rPr>
              <w:t>比选报价</w:t>
            </w: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1B123DAE">
            <w:pPr>
              <w:widowControl/>
              <w:spacing w:line="400" w:lineRule="exact"/>
              <w:ind w:firstLine="0" w:firstLineChars="0"/>
              <w:jc w:val="left"/>
              <w:rPr>
                <w:rFonts w:ascii="Times New Roman" w:hAnsi="Times New Roman" w:eastAsia="仿宋"/>
                <w:color w:val="auto"/>
                <w:sz w:val="22"/>
                <w:szCs w:val="22"/>
                <w:highlight w:val="none"/>
              </w:rPr>
            </w:pPr>
            <w:r>
              <w:rPr>
                <w:rFonts w:ascii="Times New Roman" w:hAnsi="Times New Roman" w:eastAsia="仿宋"/>
                <w:b/>
                <w:color w:val="auto"/>
                <w:sz w:val="22"/>
                <w:szCs w:val="22"/>
                <w:highlight w:val="none"/>
              </w:rPr>
              <w:t>小写（元）：</w:t>
            </w:r>
          </w:p>
        </w:tc>
      </w:tr>
      <w:tr w14:paraId="63E4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484" w:type="dxa"/>
            <w:vMerge w:val="continue"/>
            <w:tcBorders>
              <w:left w:val="single" w:color="auto" w:sz="4" w:space="0"/>
              <w:bottom w:val="single" w:color="auto" w:sz="4" w:space="0"/>
              <w:right w:val="single" w:color="auto" w:sz="4" w:space="0"/>
            </w:tcBorders>
            <w:vAlign w:val="center"/>
          </w:tcPr>
          <w:p w14:paraId="7979D0E0">
            <w:pPr>
              <w:pStyle w:val="12"/>
              <w:spacing w:line="500" w:lineRule="exact"/>
              <w:ind w:left="0" w:leftChars="0" w:firstLine="0" w:firstLineChars="0"/>
              <w:jc w:val="left"/>
              <w:rPr>
                <w:rFonts w:ascii="Times New Roman" w:hAnsi="Times New Roman" w:eastAsia="仿宋" w:cs="Times New Roman"/>
                <w:b/>
                <w:color w:val="auto"/>
                <w:sz w:val="22"/>
                <w:szCs w:val="22"/>
                <w:highlight w:val="none"/>
              </w:rPr>
            </w:pP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514F2253">
            <w:pPr>
              <w:widowControl/>
              <w:spacing w:line="400" w:lineRule="exact"/>
              <w:ind w:firstLine="0" w:firstLineChars="0"/>
              <w:jc w:val="left"/>
              <w:rPr>
                <w:rFonts w:ascii="Times New Roman" w:hAnsi="Times New Roman" w:eastAsia="仿宋"/>
                <w:color w:val="auto"/>
                <w:sz w:val="22"/>
                <w:szCs w:val="22"/>
                <w:highlight w:val="none"/>
              </w:rPr>
            </w:pPr>
            <w:r>
              <w:rPr>
                <w:rFonts w:ascii="Times New Roman" w:hAnsi="Times New Roman" w:eastAsia="仿宋"/>
                <w:b/>
                <w:color w:val="auto"/>
                <w:sz w:val="22"/>
                <w:szCs w:val="22"/>
                <w:highlight w:val="none"/>
              </w:rPr>
              <w:t>大写（元）：</w:t>
            </w:r>
          </w:p>
        </w:tc>
      </w:tr>
      <w:tr w14:paraId="6B32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9632" w:type="dxa"/>
            <w:gridSpan w:val="3"/>
            <w:tcBorders>
              <w:top w:val="single" w:color="auto" w:sz="4" w:space="0"/>
              <w:left w:val="single" w:color="auto" w:sz="4" w:space="0"/>
              <w:bottom w:val="single" w:color="auto" w:sz="4" w:space="0"/>
              <w:right w:val="single" w:color="auto" w:sz="4" w:space="0"/>
            </w:tcBorders>
            <w:vAlign w:val="center"/>
          </w:tcPr>
          <w:p w14:paraId="58EF30DA">
            <w:pPr>
              <w:spacing w:line="560" w:lineRule="exact"/>
              <w:ind w:firstLine="209" w:firstLineChars="95"/>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备注：</w:t>
            </w:r>
          </w:p>
        </w:tc>
      </w:tr>
    </w:tbl>
    <w:p w14:paraId="7A85FE6A">
      <w:pPr>
        <w:pStyle w:val="12"/>
        <w:spacing w:line="500" w:lineRule="exact"/>
        <w:ind w:left="0" w:leftChars="0" w:firstLine="0" w:firstLineChars="0"/>
        <w:rPr>
          <w:rFonts w:ascii="Times New Roman" w:hAnsi="Times New Roman" w:eastAsia="仿宋" w:cs="Times New Roman"/>
          <w:color w:val="auto"/>
          <w:szCs w:val="28"/>
          <w:highlight w:val="none"/>
        </w:rPr>
      </w:pPr>
    </w:p>
    <w:p w14:paraId="017E2F9C">
      <w:pPr>
        <w:spacing w:line="500" w:lineRule="exact"/>
        <w:ind w:firstLine="560"/>
        <w:rPr>
          <w:rFonts w:ascii="Times New Roman" w:hAnsi="Times New Roman" w:eastAsia="仿宋"/>
          <w:color w:val="auto"/>
          <w:szCs w:val="28"/>
          <w:highlight w:val="none"/>
        </w:rPr>
      </w:pPr>
      <w:r>
        <w:rPr>
          <w:rFonts w:ascii="Times New Roman" w:hAnsi="Times New Roman" w:eastAsia="仿宋"/>
          <w:color w:val="auto"/>
          <w:szCs w:val="28"/>
          <w:highlight w:val="none"/>
        </w:rPr>
        <w:t>参选人：                      法定代表人或法定代表人授权代表：</w:t>
      </w:r>
    </w:p>
    <w:p w14:paraId="60F513F7">
      <w:pPr>
        <w:spacing w:line="500" w:lineRule="exact"/>
        <w:ind w:firstLine="0" w:firstLineChars="0"/>
        <w:rPr>
          <w:rFonts w:ascii="Times New Roman" w:hAnsi="Times New Roman" w:eastAsia="仿宋"/>
          <w:color w:val="auto"/>
          <w:szCs w:val="28"/>
          <w:highlight w:val="none"/>
        </w:rPr>
      </w:pPr>
      <w:r>
        <w:rPr>
          <w:rFonts w:ascii="Times New Roman" w:hAnsi="Times New Roman" w:eastAsia="仿宋"/>
          <w:color w:val="auto"/>
          <w:szCs w:val="28"/>
          <w:highlight w:val="none"/>
        </w:rPr>
        <w:t>（参选人公章）                               （签字或盖章）</w:t>
      </w:r>
    </w:p>
    <w:p w14:paraId="350BCF96">
      <w:pPr>
        <w:spacing w:line="500" w:lineRule="exact"/>
        <w:ind w:firstLine="560"/>
        <w:rPr>
          <w:rFonts w:ascii="Times New Roman" w:hAnsi="Times New Roman" w:eastAsia="仿宋"/>
          <w:color w:val="auto"/>
          <w:sz w:val="24"/>
          <w:highlight w:val="none"/>
        </w:rPr>
      </w:pPr>
      <w:r>
        <w:rPr>
          <w:rFonts w:ascii="Times New Roman" w:hAnsi="Times New Roman" w:eastAsia="仿宋"/>
          <w:color w:val="auto"/>
          <w:szCs w:val="28"/>
          <w:highlight w:val="none"/>
        </w:rPr>
        <w:t xml:space="preserve">                                         年     月  </w:t>
      </w:r>
      <w:r>
        <w:rPr>
          <w:rFonts w:ascii="Times New Roman" w:hAnsi="Times New Roman" w:eastAsia="仿宋"/>
          <w:color w:val="auto"/>
          <w:sz w:val="24"/>
          <w:highlight w:val="none"/>
        </w:rPr>
        <w:t xml:space="preserve">   </w:t>
      </w:r>
      <w:r>
        <w:rPr>
          <w:rFonts w:ascii="Times New Roman" w:hAnsi="Times New Roman" w:eastAsia="仿宋"/>
          <w:color w:val="auto"/>
          <w:szCs w:val="28"/>
          <w:highlight w:val="none"/>
        </w:rPr>
        <w:t>日</w:t>
      </w:r>
    </w:p>
    <w:p w14:paraId="21277F2B">
      <w:pPr>
        <w:spacing w:line="500" w:lineRule="exact"/>
        <w:ind w:firstLine="480"/>
        <w:rPr>
          <w:rFonts w:ascii="Times New Roman" w:hAnsi="Times New Roman" w:eastAsia="仿宋"/>
          <w:color w:val="auto"/>
          <w:sz w:val="24"/>
          <w:highlight w:val="none"/>
        </w:rPr>
      </w:pPr>
      <w:r>
        <w:rPr>
          <w:rFonts w:ascii="Times New Roman" w:hAnsi="Times New Roman" w:eastAsia="仿宋"/>
          <w:color w:val="auto"/>
          <w:sz w:val="24"/>
          <w:highlight w:val="none"/>
        </w:rPr>
        <w:t>说明：</w:t>
      </w:r>
    </w:p>
    <w:p w14:paraId="034647A7">
      <w:pPr>
        <w:spacing w:line="500" w:lineRule="exact"/>
        <w:ind w:firstLine="480"/>
        <w:rPr>
          <w:rFonts w:ascii="Times New Roman" w:hAnsi="Times New Roman" w:eastAsia="仿宋"/>
          <w:color w:val="auto"/>
          <w:sz w:val="24"/>
          <w:highlight w:val="none"/>
        </w:rPr>
      </w:pPr>
      <w:r>
        <w:rPr>
          <w:rFonts w:ascii="Times New Roman" w:hAnsi="Times New Roman" w:eastAsia="仿宋"/>
          <w:color w:val="auto"/>
          <w:sz w:val="24"/>
          <w:highlight w:val="none"/>
        </w:rPr>
        <w:t>1.报价一览表按格式填列；</w:t>
      </w:r>
    </w:p>
    <w:p w14:paraId="3A377988">
      <w:pPr>
        <w:spacing w:line="500" w:lineRule="exact"/>
        <w:ind w:firstLine="480"/>
        <w:rPr>
          <w:rFonts w:ascii="Times New Roman" w:hAnsi="Times New Roman" w:eastAsia="仿宋"/>
          <w:color w:val="auto"/>
          <w:sz w:val="24"/>
          <w:highlight w:val="none"/>
        </w:rPr>
      </w:pPr>
      <w:r>
        <w:rPr>
          <w:rFonts w:ascii="Times New Roman" w:hAnsi="Times New Roman" w:eastAsia="仿宋"/>
          <w:color w:val="auto"/>
          <w:sz w:val="24"/>
          <w:highlight w:val="none"/>
        </w:rPr>
        <w:t>2.报价一览表在比选现场上当众宣读，务必填写清楚，准确无误</w:t>
      </w:r>
      <w:bookmarkEnd w:id="155"/>
      <w:r>
        <w:rPr>
          <w:rFonts w:ascii="Times New Roman" w:hAnsi="Times New Roman" w:eastAsia="仿宋"/>
          <w:color w:val="auto"/>
          <w:sz w:val="24"/>
          <w:highlight w:val="none"/>
        </w:rPr>
        <w:t>。</w:t>
      </w:r>
    </w:p>
    <w:p w14:paraId="7D3E2228">
      <w:pPr>
        <w:pStyle w:val="8"/>
        <w:ind w:firstLine="0" w:firstLineChars="0"/>
        <w:rPr>
          <w:rFonts w:eastAsia="仿宋"/>
          <w:color w:val="auto"/>
          <w:highlight w:val="none"/>
        </w:rPr>
      </w:pPr>
    </w:p>
    <w:p w14:paraId="53B161E0">
      <w:pPr>
        <w:pStyle w:val="9"/>
        <w:ind w:firstLine="280"/>
        <w:rPr>
          <w:color w:val="auto"/>
          <w:highlight w:val="none"/>
        </w:rPr>
      </w:pPr>
    </w:p>
    <w:p w14:paraId="5704A644">
      <w:pPr>
        <w:pStyle w:val="9"/>
        <w:ind w:firstLine="280"/>
        <w:rPr>
          <w:color w:val="auto"/>
          <w:highlight w:val="none"/>
        </w:rPr>
      </w:pPr>
    </w:p>
    <w:p w14:paraId="686B5B03">
      <w:pPr>
        <w:numPr>
          <w:ilvl w:val="255"/>
          <w:numId w:val="0"/>
        </w:numPr>
        <w:rPr>
          <w:color w:val="auto"/>
          <w:highlight w:val="none"/>
        </w:rPr>
      </w:pPr>
      <w:r>
        <w:rPr>
          <w:rFonts w:hint="eastAsia"/>
          <w:color w:val="auto"/>
          <w:highlight w:val="none"/>
        </w:rPr>
        <w:t>2.报价明细表</w:t>
      </w:r>
    </w:p>
    <w:p w14:paraId="798F79E6">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报价明细表</w:t>
      </w:r>
    </w:p>
    <w:p w14:paraId="10445768">
      <w:pPr>
        <w:snapToGrid w:val="0"/>
        <w:spacing w:line="500" w:lineRule="exact"/>
        <w:ind w:firstLine="0" w:firstLineChars="0"/>
        <w:outlineLvl w:val="0"/>
        <w:rPr>
          <w:rFonts w:ascii="仿宋" w:hAnsi="仿宋" w:eastAsia="仿宋"/>
          <w:color w:val="auto"/>
          <w:szCs w:val="28"/>
          <w:highlight w:val="none"/>
        </w:rPr>
      </w:pPr>
      <w:r>
        <w:rPr>
          <w:rFonts w:hint="eastAsia" w:ascii="仿宋" w:hAnsi="仿宋" w:eastAsia="仿宋"/>
          <w:color w:val="auto"/>
          <w:szCs w:val="28"/>
          <w:highlight w:val="none"/>
        </w:rPr>
        <w:t>项目名称：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9"/>
        <w:gridCol w:w="1470"/>
        <w:gridCol w:w="1471"/>
        <w:gridCol w:w="1471"/>
        <w:gridCol w:w="1471"/>
        <w:gridCol w:w="1472"/>
      </w:tblGrid>
      <w:tr w14:paraId="25D2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499" w:type="dxa"/>
          </w:tcPr>
          <w:p w14:paraId="28D9E528">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序号</w:t>
            </w:r>
          </w:p>
        </w:tc>
        <w:tc>
          <w:tcPr>
            <w:tcW w:w="1499" w:type="dxa"/>
          </w:tcPr>
          <w:p w14:paraId="4A390819">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XXX</w:t>
            </w:r>
          </w:p>
        </w:tc>
        <w:tc>
          <w:tcPr>
            <w:tcW w:w="1500" w:type="dxa"/>
          </w:tcPr>
          <w:p w14:paraId="08F87563">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XXX</w:t>
            </w:r>
          </w:p>
        </w:tc>
        <w:tc>
          <w:tcPr>
            <w:tcW w:w="1500" w:type="dxa"/>
          </w:tcPr>
          <w:p w14:paraId="3EBC0353">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XXX</w:t>
            </w:r>
          </w:p>
        </w:tc>
        <w:tc>
          <w:tcPr>
            <w:tcW w:w="1500" w:type="dxa"/>
          </w:tcPr>
          <w:p w14:paraId="4DD84F02">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XXX</w:t>
            </w:r>
          </w:p>
        </w:tc>
        <w:tc>
          <w:tcPr>
            <w:tcW w:w="1500" w:type="dxa"/>
          </w:tcPr>
          <w:p w14:paraId="7E5BE0FB">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XXX</w:t>
            </w:r>
          </w:p>
        </w:tc>
      </w:tr>
      <w:tr w14:paraId="0217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499" w:type="dxa"/>
          </w:tcPr>
          <w:p w14:paraId="28FC5FF9">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1</w:t>
            </w:r>
          </w:p>
        </w:tc>
        <w:tc>
          <w:tcPr>
            <w:tcW w:w="1499" w:type="dxa"/>
          </w:tcPr>
          <w:p w14:paraId="74FAA760">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4EF3F87F">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00910C43">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57901DEF">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4ED9517C">
            <w:pPr>
              <w:snapToGrid w:val="0"/>
              <w:spacing w:line="500" w:lineRule="exact"/>
              <w:ind w:firstLine="0" w:firstLineChars="0"/>
              <w:jc w:val="center"/>
              <w:outlineLvl w:val="0"/>
              <w:rPr>
                <w:rFonts w:ascii="仿宋" w:hAnsi="仿宋" w:eastAsia="仿宋"/>
                <w:color w:val="auto"/>
                <w:szCs w:val="28"/>
                <w:highlight w:val="none"/>
              </w:rPr>
            </w:pPr>
          </w:p>
        </w:tc>
      </w:tr>
      <w:tr w14:paraId="0403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499" w:type="dxa"/>
          </w:tcPr>
          <w:p w14:paraId="6A890C0C">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2</w:t>
            </w:r>
          </w:p>
        </w:tc>
        <w:tc>
          <w:tcPr>
            <w:tcW w:w="1499" w:type="dxa"/>
          </w:tcPr>
          <w:p w14:paraId="26A007E6">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645BBD5F">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2E7CD5E8">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0626EA72">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1DFCBDA1">
            <w:pPr>
              <w:snapToGrid w:val="0"/>
              <w:spacing w:line="500" w:lineRule="exact"/>
              <w:ind w:firstLine="0" w:firstLineChars="0"/>
              <w:jc w:val="center"/>
              <w:outlineLvl w:val="0"/>
              <w:rPr>
                <w:rFonts w:ascii="仿宋" w:hAnsi="仿宋" w:eastAsia="仿宋"/>
                <w:color w:val="auto"/>
                <w:szCs w:val="28"/>
                <w:highlight w:val="none"/>
              </w:rPr>
            </w:pPr>
          </w:p>
        </w:tc>
      </w:tr>
      <w:tr w14:paraId="623F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499" w:type="dxa"/>
          </w:tcPr>
          <w:p w14:paraId="1886F73F">
            <w:pPr>
              <w:snapToGrid w:val="0"/>
              <w:spacing w:line="500" w:lineRule="exact"/>
              <w:ind w:firstLine="0" w:firstLineChars="0"/>
              <w:jc w:val="center"/>
              <w:outlineLvl w:val="0"/>
              <w:rPr>
                <w:rFonts w:ascii="仿宋" w:hAnsi="仿宋" w:eastAsia="仿宋"/>
                <w:color w:val="auto"/>
                <w:szCs w:val="28"/>
                <w:highlight w:val="none"/>
              </w:rPr>
            </w:pPr>
            <w:r>
              <w:rPr>
                <w:rFonts w:hint="eastAsia" w:ascii="仿宋" w:hAnsi="仿宋" w:eastAsia="仿宋"/>
                <w:color w:val="auto"/>
                <w:szCs w:val="28"/>
                <w:highlight w:val="none"/>
              </w:rPr>
              <w:t>.....</w:t>
            </w:r>
          </w:p>
        </w:tc>
        <w:tc>
          <w:tcPr>
            <w:tcW w:w="1499" w:type="dxa"/>
          </w:tcPr>
          <w:p w14:paraId="0CC7DE2B">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6AA2C686">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01A6F7A6">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7D773D2B">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62729EB8">
            <w:pPr>
              <w:snapToGrid w:val="0"/>
              <w:spacing w:line="500" w:lineRule="exact"/>
              <w:ind w:firstLine="0" w:firstLineChars="0"/>
              <w:jc w:val="center"/>
              <w:outlineLvl w:val="0"/>
              <w:rPr>
                <w:rFonts w:ascii="仿宋" w:hAnsi="仿宋" w:eastAsia="仿宋"/>
                <w:color w:val="auto"/>
                <w:szCs w:val="28"/>
                <w:highlight w:val="none"/>
              </w:rPr>
            </w:pPr>
          </w:p>
        </w:tc>
      </w:tr>
      <w:tr w14:paraId="3EBD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499" w:type="dxa"/>
          </w:tcPr>
          <w:p w14:paraId="4895F1D0">
            <w:pPr>
              <w:snapToGrid w:val="0"/>
              <w:spacing w:line="500" w:lineRule="exact"/>
              <w:ind w:firstLine="0" w:firstLineChars="0"/>
              <w:jc w:val="center"/>
              <w:outlineLvl w:val="0"/>
              <w:rPr>
                <w:rFonts w:ascii="仿宋" w:hAnsi="仿宋" w:eastAsia="仿宋"/>
                <w:color w:val="auto"/>
                <w:szCs w:val="28"/>
                <w:highlight w:val="none"/>
              </w:rPr>
            </w:pPr>
          </w:p>
        </w:tc>
        <w:tc>
          <w:tcPr>
            <w:tcW w:w="1499" w:type="dxa"/>
          </w:tcPr>
          <w:p w14:paraId="3B6A8152">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7FEFE893">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31BA3BAD">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50902175">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44605587">
            <w:pPr>
              <w:snapToGrid w:val="0"/>
              <w:spacing w:line="500" w:lineRule="exact"/>
              <w:ind w:firstLine="0" w:firstLineChars="0"/>
              <w:jc w:val="center"/>
              <w:outlineLvl w:val="0"/>
              <w:rPr>
                <w:rFonts w:ascii="仿宋" w:hAnsi="仿宋" w:eastAsia="仿宋"/>
                <w:color w:val="auto"/>
                <w:szCs w:val="28"/>
                <w:highlight w:val="none"/>
              </w:rPr>
            </w:pPr>
          </w:p>
        </w:tc>
      </w:tr>
      <w:tr w14:paraId="1527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499" w:type="dxa"/>
          </w:tcPr>
          <w:p w14:paraId="1883314B">
            <w:pPr>
              <w:snapToGrid w:val="0"/>
              <w:spacing w:line="500" w:lineRule="exact"/>
              <w:ind w:firstLine="0" w:firstLineChars="0"/>
              <w:jc w:val="center"/>
              <w:outlineLvl w:val="0"/>
              <w:rPr>
                <w:rFonts w:ascii="仿宋" w:hAnsi="仿宋" w:eastAsia="仿宋"/>
                <w:color w:val="auto"/>
                <w:szCs w:val="28"/>
                <w:highlight w:val="none"/>
              </w:rPr>
            </w:pPr>
          </w:p>
        </w:tc>
        <w:tc>
          <w:tcPr>
            <w:tcW w:w="1499" w:type="dxa"/>
          </w:tcPr>
          <w:p w14:paraId="7C06CDC1">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2C105834">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0A149CBC">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53CD839B">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0E3EAAB4">
            <w:pPr>
              <w:snapToGrid w:val="0"/>
              <w:spacing w:line="500" w:lineRule="exact"/>
              <w:ind w:firstLine="0" w:firstLineChars="0"/>
              <w:jc w:val="center"/>
              <w:outlineLvl w:val="0"/>
              <w:rPr>
                <w:rFonts w:ascii="仿宋" w:hAnsi="仿宋" w:eastAsia="仿宋"/>
                <w:color w:val="auto"/>
                <w:szCs w:val="28"/>
                <w:highlight w:val="none"/>
              </w:rPr>
            </w:pPr>
          </w:p>
        </w:tc>
      </w:tr>
      <w:tr w14:paraId="4BE5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499" w:type="dxa"/>
          </w:tcPr>
          <w:p w14:paraId="2317805E">
            <w:pPr>
              <w:snapToGrid w:val="0"/>
              <w:spacing w:line="500" w:lineRule="exact"/>
              <w:ind w:firstLine="0" w:firstLineChars="0"/>
              <w:jc w:val="center"/>
              <w:outlineLvl w:val="0"/>
              <w:rPr>
                <w:rFonts w:ascii="仿宋" w:hAnsi="仿宋" w:eastAsia="仿宋"/>
                <w:color w:val="auto"/>
                <w:szCs w:val="28"/>
                <w:highlight w:val="none"/>
              </w:rPr>
            </w:pPr>
          </w:p>
        </w:tc>
        <w:tc>
          <w:tcPr>
            <w:tcW w:w="1499" w:type="dxa"/>
          </w:tcPr>
          <w:p w14:paraId="57A46220">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58554682">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5A7EBDBF">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4B421E08">
            <w:pPr>
              <w:snapToGrid w:val="0"/>
              <w:spacing w:line="500" w:lineRule="exact"/>
              <w:ind w:firstLine="0" w:firstLineChars="0"/>
              <w:jc w:val="center"/>
              <w:outlineLvl w:val="0"/>
              <w:rPr>
                <w:rFonts w:ascii="仿宋" w:hAnsi="仿宋" w:eastAsia="仿宋"/>
                <w:color w:val="auto"/>
                <w:szCs w:val="28"/>
                <w:highlight w:val="none"/>
              </w:rPr>
            </w:pPr>
          </w:p>
        </w:tc>
        <w:tc>
          <w:tcPr>
            <w:tcW w:w="1500" w:type="dxa"/>
          </w:tcPr>
          <w:p w14:paraId="4286E3FC">
            <w:pPr>
              <w:snapToGrid w:val="0"/>
              <w:spacing w:line="500" w:lineRule="exact"/>
              <w:ind w:firstLine="0" w:firstLineChars="0"/>
              <w:jc w:val="center"/>
              <w:outlineLvl w:val="0"/>
              <w:rPr>
                <w:rFonts w:ascii="仿宋" w:hAnsi="仿宋" w:eastAsia="仿宋"/>
                <w:color w:val="auto"/>
                <w:szCs w:val="28"/>
                <w:highlight w:val="none"/>
              </w:rPr>
            </w:pPr>
          </w:p>
        </w:tc>
      </w:tr>
    </w:tbl>
    <w:p w14:paraId="2E51AB61">
      <w:pPr>
        <w:pStyle w:val="6"/>
        <w:numPr>
          <w:ilvl w:val="255"/>
          <w:numId w:val="0"/>
        </w:numPr>
        <w:rPr>
          <w:color w:val="auto"/>
          <w:szCs w:val="28"/>
          <w:highlight w:val="none"/>
        </w:rPr>
      </w:pPr>
    </w:p>
    <w:p w14:paraId="0E287964">
      <w:pPr>
        <w:snapToGrid w:val="0"/>
        <w:spacing w:line="500" w:lineRule="exact"/>
        <w:ind w:firstLine="480"/>
        <w:rPr>
          <w:rFonts w:ascii="仿宋" w:hAnsi="仿宋" w:eastAsia="仿宋"/>
          <w:color w:val="auto"/>
          <w:sz w:val="24"/>
          <w:highlight w:val="none"/>
        </w:rPr>
      </w:pPr>
      <w:r>
        <w:rPr>
          <w:rFonts w:ascii="仿宋" w:hAnsi="仿宋" w:eastAsia="仿宋"/>
          <w:color w:val="auto"/>
          <w:sz w:val="24"/>
          <w:highlight w:val="none"/>
        </w:rPr>
        <w:t>注：请参选人完整填写本表并加盖公章。</w:t>
      </w:r>
    </w:p>
    <w:p w14:paraId="41C599F1">
      <w:pPr>
        <w:pStyle w:val="8"/>
        <w:ind w:firstLine="560"/>
        <w:rPr>
          <w:rFonts w:eastAsia="仿宋"/>
          <w:color w:val="auto"/>
          <w:highlight w:val="none"/>
        </w:rPr>
      </w:pPr>
    </w:p>
    <w:p w14:paraId="54AF7742">
      <w:pPr>
        <w:pStyle w:val="9"/>
        <w:ind w:firstLine="280"/>
        <w:rPr>
          <w:color w:val="auto"/>
          <w:highlight w:val="none"/>
        </w:rPr>
      </w:pPr>
    </w:p>
    <w:p w14:paraId="6A7F0E78">
      <w:pPr>
        <w:pStyle w:val="8"/>
        <w:ind w:firstLine="0" w:firstLineChars="0"/>
        <w:rPr>
          <w:rFonts w:eastAsia="仿宋"/>
          <w:color w:val="auto"/>
          <w:highlight w:val="none"/>
        </w:rPr>
      </w:pPr>
    </w:p>
    <w:p w14:paraId="275AF639">
      <w:pPr>
        <w:ind w:firstLine="0" w:firstLineChars="0"/>
        <w:rPr>
          <w:rFonts w:ascii="Times New Roman" w:hAnsi="Times New Roman" w:eastAsia="仿宋"/>
          <w:color w:val="auto"/>
          <w:highlight w:val="none"/>
        </w:rPr>
      </w:pPr>
    </w:p>
    <w:p w14:paraId="67A4C05F">
      <w:pPr>
        <w:pStyle w:val="25"/>
        <w:ind w:firstLine="560"/>
        <w:rPr>
          <w:color w:val="auto"/>
          <w:highlight w:val="none"/>
        </w:rPr>
      </w:pPr>
    </w:p>
    <w:p w14:paraId="3674EA48">
      <w:pPr>
        <w:pStyle w:val="25"/>
        <w:ind w:firstLine="0" w:firstLineChars="0"/>
        <w:rPr>
          <w:color w:val="auto"/>
          <w:highlight w:val="none"/>
        </w:rPr>
      </w:pPr>
    </w:p>
    <w:p w14:paraId="3E4CA9F8">
      <w:pPr>
        <w:widowControl/>
        <w:numPr>
          <w:ilvl w:val="0"/>
          <w:numId w:val="5"/>
        </w:numPr>
        <w:ind w:firstLine="0" w:firstLineChars="0"/>
        <w:jc w:val="left"/>
        <w:rPr>
          <w:rFonts w:ascii="Times New Roman" w:hAnsi="Times New Roman" w:eastAsia="仿宋"/>
          <w:b/>
          <w:color w:val="auto"/>
          <w:szCs w:val="28"/>
          <w:highlight w:val="none"/>
        </w:rPr>
      </w:pPr>
      <w:r>
        <w:rPr>
          <w:rFonts w:ascii="Times New Roman" w:hAnsi="Times New Roman" w:eastAsia="仿宋"/>
          <w:b/>
          <w:color w:val="auto"/>
          <w:szCs w:val="28"/>
          <w:highlight w:val="none"/>
        </w:rPr>
        <w:t>服务</w:t>
      </w:r>
      <w:r>
        <w:rPr>
          <w:rStyle w:val="23"/>
          <w:rFonts w:hint="eastAsia" w:ascii="Times New Roman" w:hAnsi="Times New Roman" w:eastAsia="仿宋"/>
          <w:color w:val="auto"/>
          <w:highlight w:val="none"/>
          <w:u w:val="none"/>
        </w:rPr>
        <w:t>/</w:t>
      </w:r>
      <w:r>
        <w:rPr>
          <w:rFonts w:ascii="Times New Roman" w:hAnsi="Times New Roman" w:eastAsia="仿宋"/>
          <w:b/>
          <w:color w:val="auto"/>
          <w:szCs w:val="28"/>
          <w:highlight w:val="none"/>
        </w:rPr>
        <w:t>技术文件</w:t>
      </w:r>
    </w:p>
    <w:p w14:paraId="6F15A894">
      <w:pPr>
        <w:ind w:firstLine="0" w:firstLineChars="0"/>
        <w:rPr>
          <w:color w:val="auto"/>
          <w:highlight w:val="none"/>
        </w:rPr>
      </w:pPr>
    </w:p>
    <w:p w14:paraId="378DF050">
      <w:pPr>
        <w:pStyle w:val="15"/>
        <w:ind w:firstLine="480"/>
        <w:rPr>
          <w:color w:val="auto"/>
          <w:highlight w:val="none"/>
        </w:rPr>
      </w:pPr>
    </w:p>
    <w:p w14:paraId="2CF11932">
      <w:pPr>
        <w:widowControl/>
        <w:numPr>
          <w:ilvl w:val="255"/>
          <w:numId w:val="0"/>
        </w:numPr>
        <w:snapToGrid w:val="0"/>
        <w:spacing w:line="500" w:lineRule="exact"/>
        <w:ind w:firstLine="560"/>
        <w:jc w:val="left"/>
        <w:rPr>
          <w:rFonts w:ascii="仿宋" w:hAnsi="仿宋" w:eastAsia="仿宋"/>
          <w:color w:val="auto"/>
          <w:highlight w:val="none"/>
        </w:rPr>
      </w:pPr>
      <w:r>
        <w:rPr>
          <w:rFonts w:hint="eastAsia" w:ascii="仿宋" w:hAnsi="仿宋" w:eastAsia="仿宋"/>
          <w:color w:val="auto"/>
          <w:highlight w:val="none"/>
        </w:rPr>
        <w:t>1.服务/技术要求应答承诺书</w:t>
      </w:r>
    </w:p>
    <w:p w14:paraId="38606E81">
      <w:pPr>
        <w:tabs>
          <w:tab w:val="left" w:pos="6300"/>
        </w:tabs>
        <w:snapToGrid w:val="0"/>
        <w:spacing w:line="500" w:lineRule="exact"/>
        <w:ind w:firstLine="0" w:firstLineChars="0"/>
        <w:rPr>
          <w:rFonts w:ascii="方正仿宋_GBK" w:hAnsi="方正仿宋_GBK" w:cs="方正仿宋_GBK"/>
          <w:color w:val="auto"/>
          <w:sz w:val="21"/>
          <w:szCs w:val="21"/>
          <w:highlight w:val="none"/>
        </w:rPr>
      </w:pPr>
    </w:p>
    <w:p w14:paraId="667C0E72">
      <w:pPr>
        <w:tabs>
          <w:tab w:val="left" w:pos="6300"/>
        </w:tabs>
        <w:snapToGrid w:val="0"/>
        <w:spacing w:line="500" w:lineRule="exact"/>
        <w:ind w:firstLine="56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服务</w:t>
      </w:r>
      <w:r>
        <w:rPr>
          <w:rStyle w:val="23"/>
          <w:rFonts w:hint="eastAsia" w:ascii="方正仿宋_GBK" w:hAnsi="方正仿宋_GBK" w:cs="方正仿宋_GBK"/>
          <w:color w:val="auto"/>
          <w:szCs w:val="28"/>
          <w:highlight w:val="none"/>
          <w:u w:val="none"/>
        </w:rPr>
        <w:t>/</w:t>
      </w:r>
      <w:r>
        <w:rPr>
          <w:rFonts w:hint="eastAsia" w:ascii="方正仿宋_GBK" w:hAnsi="方正仿宋_GBK" w:cs="方正仿宋_GBK"/>
          <w:color w:val="auto"/>
          <w:szCs w:val="28"/>
          <w:highlight w:val="none"/>
        </w:rPr>
        <w:t>技术要求应答承诺书</w:t>
      </w:r>
    </w:p>
    <w:p w14:paraId="40432579">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比选项目名称：</w:t>
      </w:r>
    </w:p>
    <w:p w14:paraId="6B0168AC">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（采购人名称）</w:t>
      </w:r>
    </w:p>
    <w:p w14:paraId="301986E5">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郑重承诺：</w:t>
      </w:r>
    </w:p>
    <w:p w14:paraId="5E58D522">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1﹒我方承诺应答并完全满足竞争性比选文件第二篇“项目技术</w:t>
      </w:r>
      <w:r>
        <w:rPr>
          <w:rStyle w:val="23"/>
          <w:rFonts w:hint="eastAsia" w:ascii="方正仿宋_GBK" w:hAnsi="方正仿宋_GBK" w:cs="方正仿宋_GBK"/>
          <w:color w:val="auto"/>
          <w:szCs w:val="28"/>
          <w:highlight w:val="none"/>
          <w:u w:val="none"/>
        </w:rPr>
        <w:t>/</w:t>
      </w:r>
      <w:r>
        <w:rPr>
          <w:rFonts w:hint="eastAsia" w:ascii="方正仿宋_GBK" w:hAnsi="方正仿宋_GBK" w:cs="方正仿宋_GBK"/>
          <w:color w:val="auto"/>
          <w:szCs w:val="28"/>
          <w:highlight w:val="none"/>
        </w:rPr>
        <w:t>服务需求”中所提出的全部技术服务条款要求，否则自愿被评定为无效参选。</w:t>
      </w:r>
    </w:p>
    <w:p w14:paraId="10F5604E">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2﹒我方承诺，若我方中标，在项目实施过程中，我方未遵守和执行竞争性比选文件第二篇“项目技术</w:t>
      </w:r>
      <w:r>
        <w:rPr>
          <w:rStyle w:val="23"/>
          <w:rFonts w:hint="eastAsia" w:ascii="方正仿宋_GBK" w:hAnsi="方正仿宋_GBK" w:cs="方正仿宋_GBK"/>
          <w:color w:val="auto"/>
          <w:szCs w:val="28"/>
          <w:highlight w:val="none"/>
          <w:u w:val="none"/>
        </w:rPr>
        <w:t>/</w:t>
      </w:r>
      <w:r>
        <w:rPr>
          <w:rFonts w:hint="eastAsia" w:ascii="方正仿宋_GBK" w:hAnsi="方正仿宋_GBK" w:cs="方正仿宋_GBK"/>
          <w:color w:val="auto"/>
          <w:szCs w:val="28"/>
          <w:highlight w:val="none"/>
        </w:rPr>
        <w:t>服务需求”和我方响应文件中承诺优于竞争性比选文件要求的技术服务条款时，我方自愿随时被采购人终止并解除服务合同，由本公司自行承担一切相应的损失。</w:t>
      </w:r>
    </w:p>
    <w:p w14:paraId="307C59D8">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3﹒我方承诺优于比选项目技术服务需求的内容如下：</w:t>
      </w:r>
    </w:p>
    <w:p w14:paraId="2D8F6E37">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w:t>
      </w:r>
    </w:p>
    <w:p w14:paraId="7283F70A">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w:t>
      </w:r>
    </w:p>
    <w:p w14:paraId="03BAAD3B">
      <w:pPr>
        <w:tabs>
          <w:tab w:val="left" w:pos="6300"/>
        </w:tabs>
        <w:snapToGrid w:val="0"/>
        <w:spacing w:line="500" w:lineRule="exact"/>
        <w:ind w:firstLine="560"/>
        <w:rPr>
          <w:rFonts w:ascii="方正仿宋_GBK" w:hAnsi="方正仿宋_GBK" w:cs="方正仿宋_GBK"/>
          <w:color w:val="auto"/>
          <w:szCs w:val="28"/>
          <w:highlight w:val="none"/>
        </w:rPr>
      </w:pPr>
    </w:p>
    <w:p w14:paraId="33C7B225">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（如果有，请参选人逐条对照列示。）</w:t>
      </w:r>
    </w:p>
    <w:p w14:paraId="0F0A12CE">
      <w:pPr>
        <w:tabs>
          <w:tab w:val="left" w:pos="6300"/>
        </w:tabs>
        <w:snapToGrid w:val="0"/>
        <w:spacing w:line="500" w:lineRule="exact"/>
        <w:ind w:firstLine="560" w:firstLineChars="0"/>
        <w:rPr>
          <w:rFonts w:ascii="方正仿宋_GBK" w:hAnsi="方正仿宋_GBK" w:cs="方正仿宋_GBK"/>
          <w:color w:val="auto"/>
          <w:szCs w:val="28"/>
          <w:highlight w:val="none"/>
        </w:rPr>
      </w:pPr>
    </w:p>
    <w:p w14:paraId="108028C1">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法定代表人（或代理人）签名或盖章：</w:t>
      </w:r>
    </w:p>
    <w:p w14:paraId="1FA82545">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法定代表人（或代理人）联系电话：</w:t>
      </w:r>
    </w:p>
    <w:p w14:paraId="10AA818A">
      <w:pPr>
        <w:tabs>
          <w:tab w:val="left" w:pos="6300"/>
        </w:tabs>
        <w:snapToGrid w:val="0"/>
        <w:spacing w:line="5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245E4592">
      <w:pPr>
        <w:tabs>
          <w:tab w:val="left" w:pos="6300"/>
        </w:tabs>
        <w:snapToGrid w:val="0"/>
        <w:spacing w:line="500" w:lineRule="exact"/>
        <w:ind w:firstLine="560" w:firstLineChars="0"/>
        <w:jc w:val="right"/>
        <w:rPr>
          <w:rFonts w:ascii="Times New Roman" w:hAnsi="Times New Roman" w:eastAsia="仿宋"/>
          <w:color w:val="auto"/>
          <w:highlight w:val="none"/>
        </w:rPr>
      </w:pPr>
      <w:r>
        <w:rPr>
          <w:rFonts w:hint="eastAsia" w:ascii="方正仿宋_GBK" w:hAnsi="方正仿宋_GBK" w:cs="方正仿宋_GBK"/>
          <w:color w:val="auto"/>
          <w:szCs w:val="28"/>
          <w:highlight w:val="none"/>
        </w:rPr>
        <w:t>年   月   日</w:t>
      </w:r>
    </w:p>
    <w:p w14:paraId="4F9FBB18">
      <w:pPr>
        <w:widowControl/>
        <w:snapToGrid w:val="0"/>
        <w:spacing w:line="500" w:lineRule="exact"/>
        <w:ind w:firstLine="0" w:firstLineChars="0"/>
        <w:jc w:val="left"/>
        <w:rPr>
          <w:rFonts w:ascii="仿宋" w:hAnsi="仿宋" w:eastAsia="仿宋"/>
          <w:color w:val="auto"/>
          <w:highlight w:val="none"/>
        </w:rPr>
      </w:pPr>
      <w:r>
        <w:rPr>
          <w:rFonts w:hint="eastAsia" w:ascii="仿宋" w:hAnsi="仿宋" w:eastAsia="仿宋"/>
          <w:color w:val="auto"/>
          <w:highlight w:val="none"/>
        </w:rPr>
        <w:t>2.其他服务技术部分资料</w:t>
      </w:r>
    </w:p>
    <w:p w14:paraId="3DD96561">
      <w:pPr>
        <w:widowControl/>
        <w:ind w:firstLine="0" w:firstLineChars="0"/>
        <w:jc w:val="left"/>
        <w:rPr>
          <w:rFonts w:ascii="Times New Roman" w:hAnsi="Times New Roman" w:eastAsia="仿宋"/>
          <w:color w:val="auto"/>
          <w:szCs w:val="28"/>
          <w:highlight w:val="none"/>
        </w:rPr>
      </w:pPr>
    </w:p>
    <w:p w14:paraId="58131606">
      <w:pPr>
        <w:widowControl/>
        <w:ind w:firstLine="0" w:firstLineChars="0"/>
        <w:jc w:val="left"/>
        <w:rPr>
          <w:rFonts w:ascii="Times New Roman" w:hAnsi="Times New Roman" w:eastAsia="仿宋"/>
          <w:color w:val="auto"/>
          <w:szCs w:val="28"/>
          <w:highlight w:val="none"/>
        </w:rPr>
      </w:pPr>
    </w:p>
    <w:p w14:paraId="6F40D193">
      <w:pPr>
        <w:widowControl/>
        <w:ind w:firstLine="0" w:firstLineChars="0"/>
        <w:jc w:val="left"/>
        <w:rPr>
          <w:rFonts w:ascii="Times New Roman" w:hAnsi="Times New Roman" w:eastAsia="仿宋"/>
          <w:color w:val="auto"/>
          <w:szCs w:val="28"/>
          <w:highlight w:val="none"/>
        </w:rPr>
      </w:pPr>
    </w:p>
    <w:p w14:paraId="24B4D5BC">
      <w:pPr>
        <w:widowControl/>
        <w:ind w:firstLine="0" w:firstLineChars="0"/>
        <w:jc w:val="left"/>
        <w:rPr>
          <w:rFonts w:ascii="Times New Roman" w:hAnsi="Times New Roman" w:eastAsia="仿宋"/>
          <w:color w:val="auto"/>
          <w:szCs w:val="28"/>
          <w:highlight w:val="none"/>
        </w:rPr>
      </w:pPr>
    </w:p>
    <w:p w14:paraId="48786556">
      <w:pPr>
        <w:widowControl/>
        <w:ind w:firstLine="0" w:firstLineChars="0"/>
        <w:jc w:val="left"/>
        <w:rPr>
          <w:rFonts w:ascii="Times New Roman" w:hAnsi="Times New Roman" w:eastAsia="仿宋"/>
          <w:color w:val="auto"/>
          <w:szCs w:val="28"/>
          <w:highlight w:val="none"/>
        </w:rPr>
      </w:pPr>
    </w:p>
    <w:p w14:paraId="4DD47E7D">
      <w:pPr>
        <w:widowControl/>
        <w:ind w:firstLine="0" w:firstLineChars="0"/>
        <w:jc w:val="left"/>
        <w:rPr>
          <w:rFonts w:ascii="Times New Roman" w:hAnsi="Times New Roman" w:eastAsia="仿宋"/>
          <w:color w:val="auto"/>
          <w:szCs w:val="28"/>
          <w:highlight w:val="none"/>
        </w:rPr>
      </w:pPr>
    </w:p>
    <w:p w14:paraId="6C0570FA">
      <w:pPr>
        <w:widowControl/>
        <w:ind w:firstLine="0" w:firstLineChars="0"/>
        <w:jc w:val="left"/>
        <w:rPr>
          <w:rFonts w:ascii="Times New Roman" w:hAnsi="Times New Roman" w:eastAsia="仿宋"/>
          <w:color w:val="auto"/>
          <w:szCs w:val="28"/>
          <w:highlight w:val="none"/>
        </w:rPr>
      </w:pPr>
    </w:p>
    <w:p w14:paraId="27CC126B">
      <w:pPr>
        <w:widowControl/>
        <w:ind w:firstLine="0" w:firstLineChars="0"/>
        <w:jc w:val="left"/>
        <w:rPr>
          <w:rFonts w:ascii="Times New Roman" w:hAnsi="Times New Roman" w:eastAsia="仿宋"/>
          <w:color w:val="auto"/>
          <w:szCs w:val="28"/>
          <w:highlight w:val="none"/>
        </w:rPr>
      </w:pPr>
    </w:p>
    <w:p w14:paraId="5AEB666A">
      <w:pPr>
        <w:widowControl/>
        <w:ind w:firstLine="0" w:firstLineChars="0"/>
        <w:jc w:val="left"/>
        <w:rPr>
          <w:rFonts w:ascii="Times New Roman" w:hAnsi="Times New Roman" w:eastAsia="仿宋"/>
          <w:color w:val="auto"/>
          <w:szCs w:val="28"/>
          <w:highlight w:val="none"/>
        </w:rPr>
      </w:pPr>
    </w:p>
    <w:p w14:paraId="13C4DEA8">
      <w:pPr>
        <w:widowControl/>
        <w:ind w:firstLine="0" w:firstLineChars="0"/>
        <w:jc w:val="left"/>
        <w:rPr>
          <w:rFonts w:ascii="Times New Roman" w:hAnsi="Times New Roman" w:eastAsia="仿宋"/>
          <w:color w:val="auto"/>
          <w:szCs w:val="28"/>
          <w:highlight w:val="none"/>
        </w:rPr>
      </w:pPr>
    </w:p>
    <w:p w14:paraId="029E86F6">
      <w:pPr>
        <w:widowControl/>
        <w:ind w:firstLine="0" w:firstLineChars="0"/>
        <w:jc w:val="left"/>
        <w:rPr>
          <w:rFonts w:ascii="Times New Roman" w:hAnsi="Times New Roman" w:eastAsia="仿宋"/>
          <w:color w:val="auto"/>
          <w:szCs w:val="28"/>
          <w:highlight w:val="none"/>
        </w:rPr>
      </w:pPr>
    </w:p>
    <w:p w14:paraId="16AC3A20">
      <w:pPr>
        <w:widowControl/>
        <w:ind w:firstLine="0" w:firstLineChars="0"/>
        <w:jc w:val="left"/>
        <w:rPr>
          <w:rFonts w:ascii="Times New Roman" w:hAnsi="Times New Roman" w:eastAsia="仿宋"/>
          <w:color w:val="auto"/>
          <w:szCs w:val="28"/>
          <w:highlight w:val="none"/>
        </w:rPr>
      </w:pPr>
    </w:p>
    <w:p w14:paraId="683E9E4A">
      <w:pPr>
        <w:widowControl/>
        <w:ind w:firstLine="0" w:firstLineChars="0"/>
        <w:jc w:val="left"/>
        <w:rPr>
          <w:rFonts w:ascii="Times New Roman" w:hAnsi="Times New Roman" w:eastAsia="仿宋"/>
          <w:color w:val="auto"/>
          <w:szCs w:val="28"/>
          <w:highlight w:val="none"/>
        </w:rPr>
      </w:pPr>
    </w:p>
    <w:p w14:paraId="454B645C">
      <w:pPr>
        <w:widowControl/>
        <w:ind w:firstLine="0" w:firstLineChars="0"/>
        <w:jc w:val="left"/>
        <w:rPr>
          <w:rFonts w:ascii="Times New Roman" w:hAnsi="Times New Roman" w:eastAsia="仿宋"/>
          <w:color w:val="auto"/>
          <w:szCs w:val="28"/>
          <w:highlight w:val="none"/>
        </w:rPr>
      </w:pPr>
    </w:p>
    <w:p w14:paraId="7855F157">
      <w:pPr>
        <w:widowControl/>
        <w:ind w:firstLine="0" w:firstLineChars="0"/>
        <w:jc w:val="left"/>
        <w:rPr>
          <w:rFonts w:ascii="Times New Roman" w:hAnsi="Times New Roman" w:eastAsia="仿宋"/>
          <w:color w:val="auto"/>
          <w:szCs w:val="28"/>
          <w:highlight w:val="none"/>
        </w:rPr>
      </w:pPr>
    </w:p>
    <w:p w14:paraId="1418813B">
      <w:pPr>
        <w:widowControl/>
        <w:ind w:firstLine="0" w:firstLineChars="0"/>
        <w:jc w:val="left"/>
        <w:rPr>
          <w:rFonts w:ascii="Times New Roman" w:hAnsi="Times New Roman" w:eastAsia="仿宋"/>
          <w:color w:val="auto"/>
          <w:szCs w:val="28"/>
          <w:highlight w:val="none"/>
        </w:rPr>
      </w:pPr>
    </w:p>
    <w:p w14:paraId="0B227A32">
      <w:pPr>
        <w:widowControl/>
        <w:ind w:firstLine="0" w:firstLineChars="0"/>
        <w:jc w:val="left"/>
        <w:rPr>
          <w:rFonts w:ascii="Times New Roman" w:hAnsi="Times New Roman" w:eastAsia="仿宋"/>
          <w:color w:val="auto"/>
          <w:szCs w:val="28"/>
          <w:highlight w:val="none"/>
        </w:rPr>
      </w:pPr>
    </w:p>
    <w:p w14:paraId="44B687C3">
      <w:pPr>
        <w:widowControl/>
        <w:ind w:firstLine="0" w:firstLineChars="0"/>
        <w:jc w:val="left"/>
        <w:rPr>
          <w:rFonts w:ascii="Times New Roman" w:hAnsi="Times New Roman" w:eastAsia="仿宋"/>
          <w:color w:val="auto"/>
          <w:szCs w:val="28"/>
          <w:highlight w:val="none"/>
        </w:rPr>
      </w:pPr>
    </w:p>
    <w:p w14:paraId="29831524">
      <w:pPr>
        <w:widowControl/>
        <w:ind w:firstLine="0" w:firstLineChars="0"/>
        <w:jc w:val="left"/>
        <w:rPr>
          <w:rFonts w:ascii="Times New Roman" w:hAnsi="Times New Roman" w:eastAsia="仿宋"/>
          <w:color w:val="auto"/>
          <w:szCs w:val="28"/>
          <w:highlight w:val="none"/>
        </w:rPr>
      </w:pPr>
    </w:p>
    <w:p w14:paraId="24CEBCA1">
      <w:pPr>
        <w:widowControl/>
        <w:ind w:firstLine="0" w:firstLineChars="0"/>
        <w:jc w:val="left"/>
        <w:rPr>
          <w:rFonts w:ascii="Times New Roman" w:hAnsi="Times New Roman" w:eastAsia="仿宋"/>
          <w:color w:val="auto"/>
          <w:szCs w:val="28"/>
          <w:highlight w:val="none"/>
        </w:rPr>
      </w:pPr>
    </w:p>
    <w:p w14:paraId="2A2728F5">
      <w:pPr>
        <w:widowControl/>
        <w:ind w:firstLine="0" w:firstLineChars="0"/>
        <w:jc w:val="left"/>
        <w:rPr>
          <w:rFonts w:ascii="Times New Roman" w:hAnsi="Times New Roman" w:eastAsia="仿宋"/>
          <w:color w:val="auto"/>
          <w:szCs w:val="28"/>
          <w:highlight w:val="none"/>
        </w:rPr>
      </w:pPr>
    </w:p>
    <w:p w14:paraId="3B5B08E2">
      <w:pPr>
        <w:widowControl/>
        <w:ind w:firstLine="0" w:firstLineChars="0"/>
        <w:jc w:val="left"/>
        <w:rPr>
          <w:rFonts w:ascii="Times New Roman" w:hAnsi="Times New Roman" w:eastAsia="仿宋"/>
          <w:b/>
          <w:color w:val="auto"/>
          <w:szCs w:val="28"/>
          <w:highlight w:val="none"/>
        </w:rPr>
      </w:pPr>
      <w:r>
        <w:rPr>
          <w:rFonts w:ascii="Times New Roman" w:hAnsi="Times New Roman" w:eastAsia="仿宋"/>
          <w:b/>
          <w:color w:val="auto"/>
          <w:szCs w:val="28"/>
          <w:highlight w:val="none"/>
        </w:rPr>
        <w:t>三、商务部分</w:t>
      </w:r>
    </w:p>
    <w:p w14:paraId="2E70A3B0">
      <w:pPr>
        <w:widowControl/>
        <w:snapToGrid w:val="0"/>
        <w:spacing w:line="500" w:lineRule="exact"/>
        <w:ind w:firstLine="560" w:firstLineChars="0"/>
        <w:jc w:val="left"/>
        <w:rPr>
          <w:rFonts w:ascii="仿宋" w:hAnsi="仿宋" w:eastAsia="仿宋"/>
          <w:color w:val="auto"/>
          <w:highlight w:val="none"/>
        </w:rPr>
      </w:pPr>
      <w:r>
        <w:rPr>
          <w:rFonts w:hint="eastAsia" w:ascii="仿宋" w:hAnsi="仿宋" w:eastAsia="仿宋"/>
          <w:color w:val="auto"/>
          <w:highlight w:val="none"/>
        </w:rPr>
        <w:t>1.比选函</w:t>
      </w:r>
    </w:p>
    <w:p w14:paraId="32446BC2">
      <w:pPr>
        <w:snapToGrid w:val="0"/>
        <w:spacing w:before="190" w:beforeLines="50" w:line="400" w:lineRule="exact"/>
        <w:ind w:firstLine="56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比选函（格式）</w:t>
      </w:r>
    </w:p>
    <w:p w14:paraId="05E6BCA2">
      <w:pPr>
        <w:spacing w:line="400" w:lineRule="exact"/>
        <w:ind w:firstLine="560"/>
        <w:rPr>
          <w:rFonts w:ascii="方正仿宋_GBK" w:hAnsi="方正仿宋_GBK" w:cs="方正仿宋_GBK"/>
          <w:color w:val="auto"/>
          <w:szCs w:val="28"/>
          <w:highlight w:val="none"/>
          <w:u w:val="single"/>
        </w:rPr>
      </w:pPr>
      <w:r>
        <w:rPr>
          <w:rFonts w:hint="eastAsia" w:ascii="方正仿宋_GBK" w:hAnsi="方正仿宋_GBK" w:cs="方正仿宋_GBK"/>
          <w:color w:val="auto"/>
          <w:szCs w:val="28"/>
          <w:highlight w:val="none"/>
        </w:rPr>
        <w:t>比选项目名称：</w:t>
      </w:r>
      <w:r>
        <w:rPr>
          <w:rFonts w:hint="eastAsia" w:ascii="方正仿宋_GBK" w:hAnsi="方正仿宋_GBK" w:cs="方正仿宋_GBK"/>
          <w:color w:val="auto"/>
          <w:szCs w:val="28"/>
          <w:highlight w:val="none"/>
          <w:u w:val="single"/>
        </w:rPr>
        <w:t xml:space="preserve">                                             </w:t>
      </w:r>
    </w:p>
    <w:p w14:paraId="7FDF4D71">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（采购人）</w:t>
      </w:r>
    </w:p>
    <w:p w14:paraId="34AAE9E7">
      <w:pPr>
        <w:snapToGrid w:val="0"/>
        <w:spacing w:before="190" w:beforeLines="50"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（参选人名称）系中华人民共和国合法企业，注册地址：</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。我方就参加本次比选有关事项郑重声明如下：</w:t>
      </w:r>
    </w:p>
    <w:p w14:paraId="1BDC1484">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一、我方完全理解并接受该项目比选文件所有要求。</w:t>
      </w:r>
    </w:p>
    <w:p w14:paraId="650BDE5F">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二、我方提交的所有参选文件、资料都是准确和真实的，如有虚假或隐瞒，我方愿意承担一切法律责任。</w:t>
      </w:r>
    </w:p>
    <w:p w14:paraId="135EDB39">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三、我方承诺按照比选文件要求，提供比选项目的技术服务。</w:t>
      </w:r>
    </w:p>
    <w:p w14:paraId="390CE516">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四、我方按比选文件要求提交的参选文件为：参选文件正本1份，副本1份。</w:t>
      </w:r>
    </w:p>
    <w:p w14:paraId="3EBD4C7E">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五、我方承诺：本次比选的比选有效期为比选截止日期起90天内。</w:t>
      </w:r>
    </w:p>
    <w:p w14:paraId="7F2C4CE5">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六、我方比选报价为闭口价。即在比选有效期和合同有效期内，该报价固定不变。</w:t>
      </w:r>
    </w:p>
    <w:p w14:paraId="07389FBD">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七、如果我方中选，我方将履行比选文件中规定的各项要求以及我方参选文件的各项承诺，按《中华人民共和国民法典》及合同约定条款承担我方责任。</w:t>
      </w:r>
    </w:p>
    <w:p w14:paraId="422219DB">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八、我方未为采购项目提供整体设计、规范编制或者项目管理、监理、检测等服务。</w:t>
      </w:r>
    </w:p>
    <w:p w14:paraId="3146AC8B">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九、我方理解，最低报价不是中选的唯一条件。</w:t>
      </w:r>
    </w:p>
    <w:p w14:paraId="7F561CFF">
      <w:pPr>
        <w:snapToGrid w:val="0"/>
        <w:spacing w:line="400" w:lineRule="exact"/>
        <w:ind w:firstLine="0" w:firstLineChars="0"/>
        <w:rPr>
          <w:rFonts w:ascii="方正仿宋_GBK" w:hAnsi="方正仿宋_GBK" w:cs="方正仿宋_GBK"/>
          <w:color w:val="auto"/>
          <w:szCs w:val="28"/>
          <w:highlight w:val="none"/>
        </w:rPr>
      </w:pPr>
    </w:p>
    <w:p w14:paraId="25A34DF0">
      <w:pPr>
        <w:pStyle w:val="8"/>
        <w:spacing w:line="400" w:lineRule="exact"/>
        <w:ind w:firstLine="560"/>
        <w:rPr>
          <w:rFonts w:ascii="方正仿宋_GBK" w:hAnsi="方正仿宋_GBK" w:cs="方正仿宋_GBK"/>
          <w:color w:val="auto"/>
          <w:szCs w:val="28"/>
          <w:highlight w:val="none"/>
        </w:rPr>
      </w:pPr>
    </w:p>
    <w:p w14:paraId="04F1A7DD">
      <w:pPr>
        <w:snapToGrid w:val="0"/>
        <w:spacing w:line="400" w:lineRule="exact"/>
        <w:ind w:firstLine="6370" w:firstLineChars="2275"/>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45C17B30">
      <w:pPr>
        <w:widowControl/>
        <w:snapToGrid w:val="0"/>
        <w:spacing w:line="400" w:lineRule="exact"/>
        <w:ind w:firstLine="6720" w:firstLineChars="2400"/>
        <w:jc w:val="lef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年    月   日</w:t>
      </w:r>
    </w:p>
    <w:p w14:paraId="2A9FB93B">
      <w:pPr>
        <w:widowControl/>
        <w:numPr>
          <w:ilvl w:val="255"/>
          <w:numId w:val="0"/>
        </w:numPr>
        <w:jc w:val="left"/>
        <w:rPr>
          <w:rFonts w:ascii="Times New Roman" w:hAnsi="Times New Roman" w:eastAsia="仿宋"/>
          <w:color w:val="auto"/>
          <w:szCs w:val="28"/>
          <w:highlight w:val="none"/>
        </w:rPr>
      </w:pPr>
    </w:p>
    <w:p w14:paraId="48E8ADE0">
      <w:pPr>
        <w:widowControl/>
        <w:snapToGrid w:val="0"/>
        <w:spacing w:line="500" w:lineRule="exact"/>
        <w:ind w:firstLine="0" w:firstLineChars="0"/>
        <w:jc w:val="left"/>
        <w:rPr>
          <w:rFonts w:ascii="仿宋" w:hAnsi="仿宋" w:eastAsia="仿宋"/>
          <w:color w:val="auto"/>
          <w:highlight w:val="none"/>
        </w:rPr>
      </w:pPr>
    </w:p>
    <w:p w14:paraId="21633E00">
      <w:pPr>
        <w:widowControl/>
        <w:snapToGrid w:val="0"/>
        <w:spacing w:line="500" w:lineRule="exact"/>
        <w:ind w:firstLine="560" w:firstLineChars="0"/>
        <w:jc w:val="left"/>
        <w:rPr>
          <w:rFonts w:ascii="仿宋" w:hAnsi="仿宋" w:eastAsia="仿宋"/>
          <w:color w:val="auto"/>
          <w:highlight w:val="none"/>
        </w:rPr>
      </w:pPr>
      <w:r>
        <w:rPr>
          <w:rFonts w:hint="eastAsia" w:ascii="仿宋" w:hAnsi="仿宋" w:eastAsia="仿宋"/>
          <w:color w:val="auto"/>
          <w:highlight w:val="none"/>
        </w:rPr>
        <w:t>2.商务要求应答承诺书</w:t>
      </w:r>
    </w:p>
    <w:p w14:paraId="774E4563">
      <w:pPr>
        <w:tabs>
          <w:tab w:val="left" w:pos="6300"/>
        </w:tabs>
        <w:snapToGrid w:val="0"/>
        <w:spacing w:line="500" w:lineRule="exact"/>
        <w:ind w:firstLine="560"/>
        <w:jc w:val="center"/>
        <w:rPr>
          <w:rFonts w:ascii="方正仿宋_GBK" w:hAnsi="方正仿宋_GBK" w:cs="方正仿宋_GBK"/>
          <w:color w:val="auto"/>
          <w:szCs w:val="28"/>
          <w:highlight w:val="none"/>
        </w:rPr>
      </w:pPr>
      <w:bookmarkStart w:id="156" w:name="_Toc25952"/>
      <w:bookmarkStart w:id="157" w:name="_Toc10836"/>
      <w:bookmarkStart w:id="158" w:name="_Toc97027591"/>
      <w:bookmarkStart w:id="159" w:name="_Toc24275"/>
      <w:bookmarkStart w:id="160" w:name="_Toc101362777"/>
      <w:bookmarkStart w:id="161" w:name="_Toc106896351"/>
      <w:bookmarkStart w:id="162" w:name="_Toc26028"/>
      <w:r>
        <w:rPr>
          <w:rFonts w:hint="eastAsia" w:ascii="方正仿宋_GBK" w:hAnsi="方正仿宋_GBK" w:cs="方正仿宋_GBK"/>
          <w:color w:val="auto"/>
          <w:szCs w:val="28"/>
          <w:highlight w:val="none"/>
        </w:rPr>
        <w:t>商务要求应答承诺书</w:t>
      </w:r>
      <w:bookmarkEnd w:id="156"/>
      <w:bookmarkEnd w:id="157"/>
      <w:bookmarkEnd w:id="158"/>
      <w:bookmarkEnd w:id="159"/>
      <w:bookmarkEnd w:id="160"/>
      <w:bookmarkEnd w:id="161"/>
      <w:bookmarkEnd w:id="162"/>
    </w:p>
    <w:p w14:paraId="10C8DA6F">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比选项目名称：</w:t>
      </w:r>
    </w:p>
    <w:p w14:paraId="0470845B">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（采购人名称）</w:t>
      </w:r>
      <w:r>
        <w:rPr>
          <w:rFonts w:hint="eastAsia" w:ascii="方正仿宋_GBK" w:hAnsi="方正仿宋_GBK" w:cs="方正仿宋_GBK"/>
          <w:color w:val="auto"/>
          <w:szCs w:val="28"/>
          <w:highlight w:val="none"/>
        </w:rPr>
        <w:t>：</w:t>
      </w:r>
    </w:p>
    <w:p w14:paraId="6B925B17">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郑重承诺：</w:t>
      </w:r>
    </w:p>
    <w:p w14:paraId="68BD7EDC">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1﹒我方承诺应答并完全满足竞争性比选文件第三篇“项目商务要求”中所提出的全部商务条款要求，否则自愿被评定为无效参选。</w:t>
      </w:r>
    </w:p>
    <w:p w14:paraId="48B8A15A">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6E12D4F5">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3﹒我方承诺优于比选项目商务要求的内容如下：</w:t>
      </w:r>
    </w:p>
    <w:p w14:paraId="63809DFB">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w:t>
      </w:r>
    </w:p>
    <w:p w14:paraId="5839A470">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w:t>
      </w:r>
    </w:p>
    <w:p w14:paraId="24A69C0C">
      <w:pPr>
        <w:pStyle w:val="15"/>
        <w:ind w:firstLine="480"/>
        <w:rPr>
          <w:color w:val="auto"/>
          <w:highlight w:val="none"/>
        </w:rPr>
      </w:pPr>
    </w:p>
    <w:p w14:paraId="0AA58673">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（如果有，请参选人逐条对照列示。）</w:t>
      </w:r>
    </w:p>
    <w:p w14:paraId="0B23AE44">
      <w:pPr>
        <w:tabs>
          <w:tab w:val="left" w:pos="6300"/>
        </w:tabs>
        <w:snapToGrid w:val="0"/>
        <w:spacing w:line="500" w:lineRule="exact"/>
        <w:ind w:firstLine="560" w:firstLineChars="0"/>
        <w:rPr>
          <w:rFonts w:ascii="方正仿宋_GBK" w:hAnsi="方正仿宋_GBK" w:cs="方正仿宋_GBK"/>
          <w:color w:val="auto"/>
          <w:szCs w:val="28"/>
          <w:highlight w:val="none"/>
        </w:rPr>
      </w:pPr>
    </w:p>
    <w:p w14:paraId="72E11AED">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法定代表人（或代理人）签名或盖章：</w:t>
      </w:r>
    </w:p>
    <w:p w14:paraId="40D2E717">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法定代表人（或代理人）联系电话：</w:t>
      </w:r>
    </w:p>
    <w:p w14:paraId="75F833E5">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p>
    <w:p w14:paraId="4DEBD087">
      <w:pPr>
        <w:tabs>
          <w:tab w:val="left" w:pos="6300"/>
        </w:tabs>
        <w:snapToGrid w:val="0"/>
        <w:spacing w:line="5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6AAB9A17">
      <w:pPr>
        <w:tabs>
          <w:tab w:val="left" w:pos="6300"/>
        </w:tabs>
        <w:snapToGrid w:val="0"/>
        <w:spacing w:line="5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年  月  日</w:t>
      </w:r>
    </w:p>
    <w:p w14:paraId="54435665">
      <w:pPr>
        <w:pStyle w:val="8"/>
        <w:ind w:firstLine="0" w:firstLineChars="0"/>
        <w:rPr>
          <w:rFonts w:ascii="方正仿宋_GBK" w:hAnsi="方正仿宋_GBK" w:cs="方正仿宋_GBK"/>
          <w:color w:val="auto"/>
          <w:sz w:val="21"/>
          <w:szCs w:val="21"/>
          <w:highlight w:val="none"/>
        </w:rPr>
      </w:pPr>
    </w:p>
    <w:p w14:paraId="36564C11">
      <w:pPr>
        <w:pStyle w:val="9"/>
        <w:ind w:firstLine="0" w:firstLineChars="0"/>
        <w:rPr>
          <w:color w:val="auto"/>
          <w:highlight w:val="none"/>
        </w:rPr>
      </w:pPr>
    </w:p>
    <w:p w14:paraId="27B0E6D1">
      <w:pPr>
        <w:widowControl/>
        <w:snapToGrid w:val="0"/>
        <w:spacing w:line="500" w:lineRule="exact"/>
        <w:ind w:firstLine="0" w:firstLineChars="0"/>
        <w:jc w:val="left"/>
        <w:rPr>
          <w:rFonts w:ascii="仿宋" w:hAnsi="仿宋" w:eastAsia="仿宋"/>
          <w:color w:val="auto"/>
          <w:highlight w:val="none"/>
        </w:rPr>
      </w:pPr>
      <w:bookmarkStart w:id="163" w:name="_Toc6407"/>
      <w:bookmarkStart w:id="164" w:name="_Toc105081946"/>
      <w:bookmarkStart w:id="165" w:name="_Toc31670"/>
      <w:bookmarkStart w:id="166" w:name="_Toc17051"/>
      <w:bookmarkStart w:id="167" w:name="_Toc97027592"/>
      <w:bookmarkStart w:id="168" w:name="_Toc194572030"/>
      <w:r>
        <w:rPr>
          <w:rFonts w:hint="eastAsia" w:ascii="仿宋" w:hAnsi="仿宋" w:eastAsia="仿宋"/>
          <w:color w:val="auto"/>
          <w:highlight w:val="none"/>
        </w:rPr>
        <w:t>3.</w:t>
      </w:r>
      <w:bookmarkEnd w:id="163"/>
      <w:bookmarkEnd w:id="164"/>
      <w:bookmarkEnd w:id="165"/>
      <w:bookmarkEnd w:id="166"/>
      <w:bookmarkEnd w:id="167"/>
      <w:r>
        <w:rPr>
          <w:rFonts w:hint="eastAsia" w:ascii="仿宋" w:hAnsi="仿宋" w:eastAsia="仿宋"/>
          <w:color w:val="auto"/>
          <w:highlight w:val="none"/>
        </w:rPr>
        <w:t>其他商务部分资料</w:t>
      </w:r>
      <w:bookmarkEnd w:id="168"/>
    </w:p>
    <w:p w14:paraId="4893B412">
      <w:pPr>
        <w:snapToGrid w:val="0"/>
        <w:spacing w:line="600" w:lineRule="exact"/>
        <w:ind w:firstLine="0" w:firstLineChars="0"/>
        <w:jc w:val="left"/>
        <w:rPr>
          <w:rFonts w:ascii="Times New Roman" w:hAnsi="Times New Roman" w:eastAsia="仿宋"/>
          <w:color w:val="auto"/>
          <w:sz w:val="32"/>
          <w:szCs w:val="32"/>
          <w:highlight w:val="none"/>
        </w:rPr>
      </w:pPr>
    </w:p>
    <w:p w14:paraId="656FEFB4">
      <w:pPr>
        <w:snapToGrid w:val="0"/>
        <w:spacing w:line="600" w:lineRule="exact"/>
        <w:ind w:firstLine="0" w:firstLineChars="0"/>
        <w:jc w:val="left"/>
        <w:rPr>
          <w:rFonts w:ascii="Times New Roman" w:hAnsi="Times New Roman" w:eastAsia="仿宋"/>
          <w:color w:val="auto"/>
          <w:sz w:val="32"/>
          <w:szCs w:val="32"/>
          <w:highlight w:val="none"/>
        </w:rPr>
      </w:pPr>
    </w:p>
    <w:p w14:paraId="124BAC14">
      <w:pPr>
        <w:snapToGrid w:val="0"/>
        <w:spacing w:line="600" w:lineRule="exact"/>
        <w:ind w:firstLine="0" w:firstLineChars="0"/>
        <w:jc w:val="left"/>
        <w:rPr>
          <w:rFonts w:ascii="Times New Roman" w:hAnsi="Times New Roman" w:eastAsia="仿宋"/>
          <w:color w:val="auto"/>
          <w:sz w:val="32"/>
          <w:szCs w:val="32"/>
          <w:highlight w:val="none"/>
        </w:rPr>
      </w:pPr>
    </w:p>
    <w:p w14:paraId="7C152D04">
      <w:pPr>
        <w:snapToGrid w:val="0"/>
        <w:spacing w:line="600" w:lineRule="exact"/>
        <w:ind w:firstLine="0" w:firstLineChars="0"/>
        <w:jc w:val="left"/>
        <w:rPr>
          <w:rFonts w:ascii="Times New Roman" w:hAnsi="Times New Roman" w:eastAsia="仿宋"/>
          <w:color w:val="auto"/>
          <w:sz w:val="32"/>
          <w:szCs w:val="32"/>
          <w:highlight w:val="none"/>
        </w:rPr>
      </w:pPr>
    </w:p>
    <w:p w14:paraId="536CE3AB">
      <w:pPr>
        <w:snapToGrid w:val="0"/>
        <w:spacing w:line="600" w:lineRule="exact"/>
        <w:ind w:firstLine="0" w:firstLineChars="0"/>
        <w:jc w:val="left"/>
        <w:rPr>
          <w:rFonts w:ascii="Times New Roman" w:hAnsi="Times New Roman" w:eastAsia="仿宋"/>
          <w:color w:val="auto"/>
          <w:sz w:val="32"/>
          <w:szCs w:val="32"/>
          <w:highlight w:val="none"/>
        </w:rPr>
      </w:pPr>
    </w:p>
    <w:p w14:paraId="136702A5">
      <w:pPr>
        <w:snapToGrid w:val="0"/>
        <w:spacing w:line="600" w:lineRule="exact"/>
        <w:ind w:firstLine="0" w:firstLineChars="0"/>
        <w:jc w:val="left"/>
        <w:rPr>
          <w:rFonts w:ascii="Times New Roman" w:hAnsi="Times New Roman" w:eastAsia="仿宋"/>
          <w:color w:val="auto"/>
          <w:sz w:val="32"/>
          <w:szCs w:val="32"/>
          <w:highlight w:val="none"/>
        </w:rPr>
      </w:pPr>
    </w:p>
    <w:p w14:paraId="71DD4084">
      <w:pPr>
        <w:snapToGrid w:val="0"/>
        <w:spacing w:line="600" w:lineRule="exact"/>
        <w:ind w:firstLine="0" w:firstLineChars="0"/>
        <w:jc w:val="left"/>
        <w:rPr>
          <w:rFonts w:ascii="Times New Roman" w:hAnsi="Times New Roman" w:eastAsia="仿宋"/>
          <w:color w:val="auto"/>
          <w:sz w:val="32"/>
          <w:szCs w:val="32"/>
          <w:highlight w:val="none"/>
        </w:rPr>
      </w:pPr>
    </w:p>
    <w:p w14:paraId="5000FA38">
      <w:pPr>
        <w:snapToGrid w:val="0"/>
        <w:spacing w:line="600" w:lineRule="exact"/>
        <w:ind w:firstLine="0" w:firstLineChars="0"/>
        <w:jc w:val="left"/>
        <w:rPr>
          <w:rFonts w:ascii="Times New Roman" w:hAnsi="Times New Roman" w:eastAsia="仿宋"/>
          <w:color w:val="auto"/>
          <w:sz w:val="32"/>
          <w:szCs w:val="32"/>
          <w:highlight w:val="none"/>
        </w:rPr>
      </w:pPr>
    </w:p>
    <w:p w14:paraId="508C1055">
      <w:pPr>
        <w:snapToGrid w:val="0"/>
        <w:spacing w:line="600" w:lineRule="exact"/>
        <w:ind w:firstLine="0" w:firstLineChars="0"/>
        <w:jc w:val="left"/>
        <w:rPr>
          <w:rFonts w:ascii="Times New Roman" w:hAnsi="Times New Roman" w:eastAsia="仿宋"/>
          <w:color w:val="auto"/>
          <w:sz w:val="32"/>
          <w:szCs w:val="32"/>
          <w:highlight w:val="none"/>
        </w:rPr>
      </w:pPr>
    </w:p>
    <w:p w14:paraId="285B6C7D">
      <w:pPr>
        <w:snapToGrid w:val="0"/>
        <w:spacing w:line="600" w:lineRule="exact"/>
        <w:ind w:firstLine="0" w:firstLineChars="0"/>
        <w:jc w:val="left"/>
        <w:rPr>
          <w:rFonts w:ascii="Times New Roman" w:hAnsi="Times New Roman" w:eastAsia="仿宋"/>
          <w:color w:val="auto"/>
          <w:sz w:val="32"/>
          <w:szCs w:val="32"/>
          <w:highlight w:val="none"/>
        </w:rPr>
      </w:pPr>
    </w:p>
    <w:p w14:paraId="565DC88E">
      <w:pPr>
        <w:snapToGrid w:val="0"/>
        <w:spacing w:line="600" w:lineRule="exact"/>
        <w:ind w:firstLine="0" w:firstLineChars="0"/>
        <w:jc w:val="left"/>
        <w:rPr>
          <w:rFonts w:ascii="Times New Roman" w:hAnsi="Times New Roman" w:eastAsia="仿宋"/>
          <w:color w:val="auto"/>
          <w:sz w:val="32"/>
          <w:szCs w:val="32"/>
          <w:highlight w:val="none"/>
        </w:rPr>
      </w:pPr>
    </w:p>
    <w:p w14:paraId="66E3E4EC">
      <w:pPr>
        <w:snapToGrid w:val="0"/>
        <w:spacing w:line="600" w:lineRule="exact"/>
        <w:ind w:firstLine="0" w:firstLineChars="0"/>
        <w:jc w:val="left"/>
        <w:rPr>
          <w:rFonts w:ascii="Times New Roman" w:hAnsi="Times New Roman" w:eastAsia="仿宋"/>
          <w:color w:val="auto"/>
          <w:sz w:val="32"/>
          <w:szCs w:val="32"/>
          <w:highlight w:val="none"/>
        </w:rPr>
      </w:pPr>
    </w:p>
    <w:p w14:paraId="4FD21CCE">
      <w:pPr>
        <w:snapToGrid w:val="0"/>
        <w:spacing w:line="600" w:lineRule="exact"/>
        <w:ind w:firstLine="0" w:firstLineChars="0"/>
        <w:jc w:val="left"/>
        <w:rPr>
          <w:rFonts w:ascii="Times New Roman" w:hAnsi="Times New Roman" w:eastAsia="仿宋"/>
          <w:color w:val="auto"/>
          <w:sz w:val="32"/>
          <w:szCs w:val="32"/>
          <w:highlight w:val="none"/>
        </w:rPr>
      </w:pPr>
    </w:p>
    <w:p w14:paraId="4AA7FA54">
      <w:pPr>
        <w:snapToGrid w:val="0"/>
        <w:spacing w:line="600" w:lineRule="exact"/>
        <w:ind w:firstLine="0" w:firstLineChars="0"/>
        <w:jc w:val="left"/>
        <w:rPr>
          <w:rFonts w:ascii="Times New Roman" w:hAnsi="Times New Roman" w:eastAsia="仿宋"/>
          <w:color w:val="auto"/>
          <w:sz w:val="32"/>
          <w:szCs w:val="32"/>
          <w:highlight w:val="none"/>
        </w:rPr>
      </w:pPr>
    </w:p>
    <w:p w14:paraId="293B4D25">
      <w:pPr>
        <w:snapToGrid w:val="0"/>
        <w:spacing w:line="600" w:lineRule="exact"/>
        <w:ind w:firstLine="0" w:firstLineChars="0"/>
        <w:jc w:val="left"/>
        <w:rPr>
          <w:rFonts w:ascii="Times New Roman" w:hAnsi="Times New Roman" w:eastAsia="仿宋"/>
          <w:color w:val="auto"/>
          <w:sz w:val="32"/>
          <w:szCs w:val="32"/>
          <w:highlight w:val="none"/>
        </w:rPr>
      </w:pPr>
    </w:p>
    <w:p w14:paraId="630B5C1B">
      <w:pPr>
        <w:snapToGrid w:val="0"/>
        <w:spacing w:line="600" w:lineRule="exact"/>
        <w:ind w:firstLine="0" w:firstLineChars="0"/>
        <w:jc w:val="left"/>
        <w:rPr>
          <w:rFonts w:ascii="Times New Roman" w:hAnsi="Times New Roman" w:eastAsia="仿宋"/>
          <w:color w:val="auto"/>
          <w:sz w:val="32"/>
          <w:szCs w:val="32"/>
          <w:highlight w:val="none"/>
        </w:rPr>
      </w:pPr>
    </w:p>
    <w:p w14:paraId="45D96594">
      <w:pPr>
        <w:snapToGrid w:val="0"/>
        <w:spacing w:line="600" w:lineRule="exact"/>
        <w:ind w:firstLine="0" w:firstLineChars="0"/>
        <w:jc w:val="left"/>
        <w:rPr>
          <w:rFonts w:ascii="Times New Roman" w:hAnsi="Times New Roman" w:eastAsia="仿宋"/>
          <w:color w:val="auto"/>
          <w:sz w:val="32"/>
          <w:szCs w:val="32"/>
          <w:highlight w:val="none"/>
        </w:rPr>
      </w:pPr>
    </w:p>
    <w:p w14:paraId="401ABC93">
      <w:pPr>
        <w:snapToGrid w:val="0"/>
        <w:spacing w:line="600" w:lineRule="exact"/>
        <w:ind w:firstLine="0" w:firstLineChars="0"/>
        <w:jc w:val="left"/>
        <w:rPr>
          <w:rFonts w:ascii="Times New Roman" w:hAnsi="Times New Roman" w:eastAsia="仿宋"/>
          <w:color w:val="auto"/>
          <w:sz w:val="32"/>
          <w:szCs w:val="32"/>
          <w:highlight w:val="none"/>
        </w:rPr>
      </w:pPr>
    </w:p>
    <w:p w14:paraId="5CC13D20">
      <w:pPr>
        <w:snapToGrid w:val="0"/>
        <w:spacing w:line="600" w:lineRule="exact"/>
        <w:ind w:firstLine="0" w:firstLineChars="0"/>
        <w:jc w:val="left"/>
        <w:rPr>
          <w:rFonts w:ascii="Times New Roman" w:hAnsi="Times New Roman" w:eastAsia="仿宋"/>
          <w:color w:val="auto"/>
          <w:sz w:val="32"/>
          <w:szCs w:val="32"/>
          <w:highlight w:val="none"/>
        </w:rPr>
      </w:pPr>
    </w:p>
    <w:p w14:paraId="7C52D9C6">
      <w:pPr>
        <w:snapToGrid w:val="0"/>
        <w:spacing w:line="600" w:lineRule="exact"/>
        <w:ind w:firstLine="0" w:firstLineChars="0"/>
        <w:jc w:val="left"/>
        <w:rPr>
          <w:rFonts w:ascii="Times New Roman" w:hAnsi="Times New Roman" w:eastAsia="仿宋"/>
          <w:color w:val="auto"/>
          <w:sz w:val="32"/>
          <w:szCs w:val="32"/>
          <w:highlight w:val="none"/>
        </w:rPr>
      </w:pPr>
    </w:p>
    <w:p w14:paraId="11798961">
      <w:pPr>
        <w:widowControl/>
        <w:ind w:firstLine="0" w:firstLineChars="0"/>
        <w:jc w:val="left"/>
        <w:rPr>
          <w:rFonts w:ascii="Times New Roman" w:hAnsi="Times New Roman" w:eastAsia="仿宋"/>
          <w:b/>
          <w:color w:val="auto"/>
          <w:highlight w:val="none"/>
        </w:rPr>
      </w:pPr>
      <w:r>
        <w:rPr>
          <w:rFonts w:ascii="Times New Roman" w:hAnsi="Times New Roman" w:eastAsia="仿宋"/>
          <w:b/>
          <w:color w:val="auto"/>
          <w:szCs w:val="28"/>
          <w:highlight w:val="none"/>
        </w:rPr>
        <w:t>四、</w:t>
      </w:r>
      <w:r>
        <w:rPr>
          <w:rFonts w:ascii="Times New Roman" w:hAnsi="Times New Roman" w:eastAsia="仿宋"/>
          <w:b/>
          <w:color w:val="auto"/>
          <w:highlight w:val="none"/>
        </w:rPr>
        <w:t>其他与项目有关的资料（自附）</w:t>
      </w:r>
    </w:p>
    <w:p w14:paraId="7E97F8DE">
      <w:pPr>
        <w:snapToGrid w:val="0"/>
        <w:spacing w:line="600" w:lineRule="exact"/>
        <w:ind w:firstLine="0" w:firstLineChars="0"/>
        <w:jc w:val="left"/>
        <w:rPr>
          <w:rFonts w:ascii="Times New Roman" w:hAnsi="Times New Roman" w:eastAsia="仿宋"/>
          <w:color w:val="auto"/>
          <w:sz w:val="32"/>
          <w:szCs w:val="32"/>
          <w:highlight w:val="none"/>
        </w:rPr>
      </w:pPr>
    </w:p>
    <w:p w14:paraId="27336A6A">
      <w:pPr>
        <w:ind w:left="560" w:firstLine="0" w:firstLineChars="0"/>
        <w:rPr>
          <w:rFonts w:ascii="Times New Roman" w:hAnsi="Times New Roman" w:eastAsia="仿宋"/>
          <w:color w:val="auto"/>
          <w:highlight w:val="none"/>
        </w:rPr>
      </w:pPr>
    </w:p>
    <w:p w14:paraId="7A863175">
      <w:pPr>
        <w:ind w:left="560" w:firstLine="0" w:firstLineChars="0"/>
        <w:rPr>
          <w:rFonts w:ascii="Times New Roman" w:hAnsi="Times New Roman" w:eastAsia="仿宋"/>
          <w:color w:val="auto"/>
          <w:highlight w:val="none"/>
        </w:rPr>
      </w:pPr>
    </w:p>
    <w:p w14:paraId="09244440">
      <w:pPr>
        <w:ind w:left="560" w:firstLine="0" w:firstLineChars="0"/>
        <w:rPr>
          <w:rFonts w:ascii="Times New Roman" w:hAnsi="Times New Roman" w:eastAsia="仿宋"/>
          <w:color w:val="auto"/>
          <w:highlight w:val="none"/>
        </w:rPr>
      </w:pPr>
    </w:p>
    <w:p w14:paraId="4F5B10B5">
      <w:pPr>
        <w:ind w:left="560" w:firstLine="0" w:firstLineChars="0"/>
        <w:rPr>
          <w:rFonts w:ascii="Times New Roman" w:hAnsi="Times New Roman" w:eastAsia="仿宋"/>
          <w:color w:val="auto"/>
          <w:highlight w:val="none"/>
        </w:rPr>
      </w:pPr>
    </w:p>
    <w:p w14:paraId="739CD833">
      <w:pPr>
        <w:ind w:left="560" w:firstLine="0" w:firstLineChars="0"/>
        <w:rPr>
          <w:rFonts w:ascii="Times New Roman" w:hAnsi="Times New Roman" w:eastAsia="仿宋"/>
          <w:color w:val="auto"/>
          <w:highlight w:val="none"/>
        </w:rPr>
      </w:pPr>
    </w:p>
    <w:p w14:paraId="631F24AC">
      <w:pPr>
        <w:ind w:left="560" w:firstLine="0" w:firstLineChars="0"/>
        <w:rPr>
          <w:rFonts w:ascii="Times New Roman" w:hAnsi="Times New Roman" w:eastAsia="仿宋"/>
          <w:color w:val="auto"/>
          <w:highlight w:val="none"/>
        </w:rPr>
      </w:pPr>
    </w:p>
    <w:p w14:paraId="3CCEB5F9">
      <w:pPr>
        <w:ind w:left="560" w:firstLine="0" w:firstLineChars="0"/>
        <w:rPr>
          <w:rFonts w:ascii="Times New Roman" w:hAnsi="Times New Roman" w:eastAsia="仿宋"/>
          <w:color w:val="auto"/>
          <w:highlight w:val="none"/>
        </w:rPr>
      </w:pPr>
    </w:p>
    <w:p w14:paraId="6127E2FA">
      <w:pPr>
        <w:ind w:left="560" w:firstLine="0" w:firstLineChars="0"/>
        <w:rPr>
          <w:rFonts w:ascii="Times New Roman" w:hAnsi="Times New Roman" w:eastAsia="仿宋"/>
          <w:color w:val="auto"/>
          <w:highlight w:val="none"/>
        </w:rPr>
      </w:pPr>
    </w:p>
    <w:p w14:paraId="523B82A3">
      <w:pPr>
        <w:ind w:left="560" w:firstLine="0" w:firstLineChars="0"/>
        <w:rPr>
          <w:rFonts w:ascii="Times New Roman" w:hAnsi="Times New Roman" w:eastAsia="仿宋"/>
          <w:color w:val="auto"/>
          <w:highlight w:val="none"/>
        </w:rPr>
      </w:pPr>
    </w:p>
    <w:p w14:paraId="500F7DAE">
      <w:pPr>
        <w:ind w:left="560" w:firstLine="0" w:firstLineChars="0"/>
        <w:rPr>
          <w:rFonts w:ascii="Times New Roman" w:hAnsi="Times New Roman" w:eastAsia="仿宋"/>
          <w:color w:val="auto"/>
          <w:highlight w:val="none"/>
        </w:rPr>
      </w:pPr>
    </w:p>
    <w:p w14:paraId="7D556D93">
      <w:pPr>
        <w:ind w:left="560" w:firstLine="0" w:firstLineChars="0"/>
        <w:rPr>
          <w:rFonts w:ascii="Times New Roman" w:hAnsi="Times New Roman" w:eastAsia="仿宋"/>
          <w:color w:val="auto"/>
          <w:highlight w:val="none"/>
        </w:rPr>
      </w:pPr>
    </w:p>
    <w:p w14:paraId="515999C9">
      <w:pPr>
        <w:ind w:left="560" w:firstLine="0" w:firstLineChars="0"/>
        <w:rPr>
          <w:rFonts w:ascii="Times New Roman" w:hAnsi="Times New Roman" w:eastAsia="仿宋"/>
          <w:color w:val="auto"/>
          <w:highlight w:val="none"/>
        </w:rPr>
      </w:pPr>
    </w:p>
    <w:p w14:paraId="756D97BF">
      <w:pPr>
        <w:ind w:firstLine="562"/>
        <w:rPr>
          <w:rFonts w:ascii="Times New Roman" w:hAnsi="Times New Roman" w:eastAsia="仿宋"/>
          <w:b/>
          <w:color w:val="auto"/>
          <w:highlight w:val="none"/>
        </w:rPr>
      </w:pPr>
    </w:p>
    <w:p w14:paraId="08637187">
      <w:pPr>
        <w:ind w:left="560" w:firstLine="0" w:firstLineChars="0"/>
        <w:rPr>
          <w:rFonts w:ascii="Times New Roman" w:hAnsi="Times New Roman" w:eastAsia="仿宋"/>
          <w:color w:val="auto"/>
          <w:highlight w:val="none"/>
        </w:rPr>
      </w:pPr>
    </w:p>
    <w:p w14:paraId="6A06F453">
      <w:pPr>
        <w:ind w:left="560" w:firstLine="0" w:firstLineChars="0"/>
        <w:rPr>
          <w:rFonts w:ascii="Times New Roman" w:hAnsi="Times New Roman" w:eastAsia="仿宋"/>
          <w:color w:val="auto"/>
          <w:highlight w:val="none"/>
        </w:rPr>
      </w:pPr>
    </w:p>
    <w:p w14:paraId="27D7FB68">
      <w:pPr>
        <w:ind w:left="560" w:firstLine="0" w:firstLineChars="0"/>
        <w:rPr>
          <w:rFonts w:ascii="Times New Roman" w:hAnsi="Times New Roman" w:eastAsia="仿宋"/>
          <w:color w:val="auto"/>
          <w:highlight w:val="none"/>
        </w:rPr>
      </w:pPr>
    </w:p>
    <w:p w14:paraId="23D483CC">
      <w:pPr>
        <w:ind w:firstLine="560"/>
        <w:rPr>
          <w:rFonts w:ascii="Times New Roman" w:hAnsi="Times New Roman" w:eastAsia="仿宋"/>
          <w:color w:val="auto"/>
          <w:highlight w:val="none"/>
        </w:rPr>
      </w:pPr>
    </w:p>
    <w:p w14:paraId="2AD0F9BC">
      <w:pPr>
        <w:ind w:left="560" w:firstLine="0" w:firstLineChars="0"/>
        <w:rPr>
          <w:rFonts w:ascii="Times New Roman" w:hAnsi="Times New Roman" w:eastAsia="仿宋"/>
          <w:color w:val="auto"/>
          <w:highlight w:val="none"/>
        </w:rPr>
      </w:pPr>
    </w:p>
    <w:p w14:paraId="2E0965DC">
      <w:pPr>
        <w:ind w:left="560" w:firstLine="0" w:firstLineChars="0"/>
        <w:rPr>
          <w:rFonts w:ascii="Times New Roman" w:hAnsi="Times New Roman" w:eastAsia="仿宋"/>
          <w:color w:val="auto"/>
          <w:highlight w:val="none"/>
        </w:rPr>
      </w:pPr>
    </w:p>
    <w:p w14:paraId="3995641E">
      <w:pPr>
        <w:widowControl/>
        <w:ind w:firstLine="0" w:firstLineChars="0"/>
        <w:jc w:val="left"/>
        <w:rPr>
          <w:rFonts w:ascii="Times New Roman" w:hAnsi="Times New Roman" w:eastAsia="仿宋"/>
          <w:b/>
          <w:color w:val="auto"/>
          <w:szCs w:val="28"/>
          <w:highlight w:val="none"/>
        </w:rPr>
      </w:pPr>
      <w:bookmarkStart w:id="169" w:name="_Toc97027593"/>
      <w:r>
        <w:rPr>
          <w:rFonts w:ascii="Times New Roman" w:hAnsi="Times New Roman" w:eastAsia="仿宋"/>
          <w:b/>
          <w:color w:val="auto"/>
          <w:szCs w:val="28"/>
          <w:highlight w:val="none"/>
        </w:rPr>
        <w:t>五、资格文件</w:t>
      </w:r>
      <w:bookmarkEnd w:id="169"/>
    </w:p>
    <w:p w14:paraId="332E9968">
      <w:pPr>
        <w:widowControl/>
        <w:tabs>
          <w:tab w:val="left" w:pos="6300"/>
        </w:tabs>
        <w:snapToGrid w:val="0"/>
        <w:spacing w:line="600" w:lineRule="exact"/>
        <w:ind w:firstLine="0" w:firstLineChars="0"/>
        <w:jc w:val="left"/>
        <w:rPr>
          <w:rFonts w:ascii="方正仿宋_GBK" w:hAnsi="方正仿宋_GBK" w:cs="方正仿宋_GBK"/>
          <w:color w:val="auto"/>
          <w:szCs w:val="28"/>
          <w:highlight w:val="none"/>
        </w:rPr>
      </w:pPr>
      <w:bookmarkStart w:id="170" w:name="_Toc2183"/>
      <w:bookmarkStart w:id="171" w:name="_Toc97027594"/>
      <w:bookmarkStart w:id="172" w:name="_Toc105081947"/>
      <w:r>
        <w:rPr>
          <w:rFonts w:hint="eastAsia" w:ascii="方正仿宋_GBK" w:hAnsi="方正仿宋_GBK" w:cs="方正仿宋_GBK"/>
          <w:color w:val="auto"/>
          <w:szCs w:val="28"/>
          <w:highlight w:val="none"/>
        </w:rPr>
        <w:t>1.</w:t>
      </w:r>
      <w:bookmarkEnd w:id="170"/>
      <w:bookmarkEnd w:id="171"/>
      <w:bookmarkEnd w:id="172"/>
      <w:r>
        <w:rPr>
          <w:rFonts w:hint="eastAsia" w:ascii="方正仿宋_GBK" w:hAnsi="方正仿宋_GBK" w:cs="方正仿宋_GBK"/>
          <w:color w:val="auto"/>
          <w:szCs w:val="28"/>
          <w:highlight w:val="none"/>
        </w:rPr>
        <w:t xml:space="preserve"> 法人营业执照（副本）或事业单位法人证书（副本）或个体工商户营业执照或有效的自然人身份证明或社会团体法人登记证书复印件（加盖参选人公章）</w:t>
      </w:r>
    </w:p>
    <w:p w14:paraId="1DC001B3">
      <w:pPr>
        <w:tabs>
          <w:tab w:val="left" w:pos="6300"/>
        </w:tabs>
        <w:snapToGrid w:val="0"/>
        <w:spacing w:line="500" w:lineRule="exact"/>
        <w:ind w:firstLine="560"/>
        <w:rPr>
          <w:rFonts w:ascii="Times New Roman" w:hAnsi="Times New Roman" w:eastAsia="仿宋"/>
          <w:color w:val="auto"/>
          <w:highlight w:val="none"/>
        </w:rPr>
      </w:pPr>
    </w:p>
    <w:p w14:paraId="6A0DFE7A">
      <w:pPr>
        <w:tabs>
          <w:tab w:val="left" w:pos="6300"/>
        </w:tabs>
        <w:snapToGrid w:val="0"/>
        <w:spacing w:line="500" w:lineRule="exact"/>
        <w:ind w:firstLine="560"/>
        <w:rPr>
          <w:rFonts w:ascii="Times New Roman" w:hAnsi="Times New Roman" w:eastAsia="仿宋"/>
          <w:color w:val="auto"/>
          <w:highlight w:val="none"/>
        </w:rPr>
      </w:pPr>
    </w:p>
    <w:p w14:paraId="35E86EFB">
      <w:pPr>
        <w:tabs>
          <w:tab w:val="left" w:pos="6300"/>
        </w:tabs>
        <w:snapToGrid w:val="0"/>
        <w:spacing w:line="500" w:lineRule="exact"/>
        <w:ind w:firstLine="560"/>
        <w:rPr>
          <w:rFonts w:ascii="Times New Roman" w:hAnsi="Times New Roman" w:eastAsia="仿宋"/>
          <w:color w:val="auto"/>
          <w:highlight w:val="none"/>
        </w:rPr>
      </w:pPr>
    </w:p>
    <w:p w14:paraId="30F652CD">
      <w:pPr>
        <w:tabs>
          <w:tab w:val="left" w:pos="6300"/>
        </w:tabs>
        <w:snapToGrid w:val="0"/>
        <w:spacing w:line="500" w:lineRule="exact"/>
        <w:ind w:firstLine="560"/>
        <w:rPr>
          <w:rFonts w:ascii="Times New Roman" w:hAnsi="Times New Roman" w:eastAsia="仿宋"/>
          <w:color w:val="auto"/>
          <w:highlight w:val="none"/>
        </w:rPr>
      </w:pPr>
    </w:p>
    <w:p w14:paraId="74D33E1D">
      <w:pPr>
        <w:tabs>
          <w:tab w:val="left" w:pos="6300"/>
        </w:tabs>
        <w:snapToGrid w:val="0"/>
        <w:spacing w:line="500" w:lineRule="exact"/>
        <w:ind w:firstLine="560"/>
        <w:rPr>
          <w:rFonts w:ascii="Times New Roman" w:hAnsi="Times New Roman" w:eastAsia="仿宋"/>
          <w:color w:val="auto"/>
          <w:highlight w:val="none"/>
        </w:rPr>
      </w:pPr>
    </w:p>
    <w:p w14:paraId="6702CEDA">
      <w:pPr>
        <w:tabs>
          <w:tab w:val="left" w:pos="6300"/>
        </w:tabs>
        <w:snapToGrid w:val="0"/>
        <w:spacing w:line="500" w:lineRule="exact"/>
        <w:ind w:firstLine="560"/>
        <w:rPr>
          <w:rFonts w:ascii="Times New Roman" w:hAnsi="Times New Roman" w:eastAsia="仿宋"/>
          <w:color w:val="auto"/>
          <w:highlight w:val="none"/>
        </w:rPr>
      </w:pPr>
    </w:p>
    <w:p w14:paraId="71C665D2">
      <w:pPr>
        <w:tabs>
          <w:tab w:val="left" w:pos="6300"/>
        </w:tabs>
        <w:snapToGrid w:val="0"/>
        <w:spacing w:line="500" w:lineRule="exact"/>
        <w:ind w:firstLine="0" w:firstLineChars="0"/>
        <w:rPr>
          <w:rFonts w:ascii="Times New Roman" w:hAnsi="Times New Roman" w:eastAsia="仿宋"/>
          <w:color w:val="auto"/>
          <w:highlight w:val="none"/>
        </w:rPr>
      </w:pPr>
    </w:p>
    <w:p w14:paraId="633D2751">
      <w:pPr>
        <w:widowControl/>
        <w:spacing w:line="240" w:lineRule="auto"/>
        <w:ind w:firstLine="0" w:firstLineChars="0"/>
        <w:jc w:val="left"/>
        <w:rPr>
          <w:rFonts w:ascii="Times New Roman" w:hAnsi="Times New Roman" w:eastAsia="仿宋"/>
          <w:color w:val="auto"/>
          <w:szCs w:val="28"/>
          <w:highlight w:val="none"/>
        </w:rPr>
      </w:pPr>
    </w:p>
    <w:p w14:paraId="3C1A3C59">
      <w:pPr>
        <w:ind w:left="560" w:firstLine="0" w:firstLineChars="0"/>
        <w:rPr>
          <w:rFonts w:ascii="Times New Roman" w:hAnsi="Times New Roman" w:eastAsia="仿宋"/>
          <w:color w:val="auto"/>
          <w:highlight w:val="none"/>
        </w:rPr>
      </w:pPr>
    </w:p>
    <w:p w14:paraId="5589E7B7">
      <w:pPr>
        <w:ind w:firstLine="560"/>
        <w:rPr>
          <w:rFonts w:ascii="Times New Roman" w:hAnsi="Times New Roman" w:eastAsia="仿宋"/>
          <w:color w:val="auto"/>
          <w:highlight w:val="none"/>
        </w:rPr>
      </w:pPr>
    </w:p>
    <w:p w14:paraId="268B38F7">
      <w:pPr>
        <w:ind w:left="560" w:firstLine="0" w:firstLineChars="0"/>
        <w:rPr>
          <w:rFonts w:ascii="Times New Roman" w:hAnsi="Times New Roman" w:eastAsia="仿宋"/>
          <w:color w:val="auto"/>
          <w:highlight w:val="none"/>
        </w:rPr>
      </w:pPr>
    </w:p>
    <w:p w14:paraId="46151B45">
      <w:pPr>
        <w:ind w:left="560" w:firstLine="0" w:firstLineChars="0"/>
        <w:rPr>
          <w:rFonts w:ascii="Times New Roman" w:hAnsi="Times New Roman" w:eastAsia="仿宋"/>
          <w:color w:val="auto"/>
          <w:highlight w:val="none"/>
        </w:rPr>
      </w:pPr>
      <w:bookmarkStart w:id="173" w:name="_Toc97027595"/>
      <w:bookmarkStart w:id="174" w:name="_Toc25694"/>
    </w:p>
    <w:p w14:paraId="32C4011B">
      <w:pPr>
        <w:ind w:left="560" w:firstLine="0" w:firstLineChars="0"/>
        <w:rPr>
          <w:rFonts w:ascii="Times New Roman" w:hAnsi="Times New Roman" w:eastAsia="仿宋"/>
          <w:color w:val="auto"/>
          <w:highlight w:val="none"/>
        </w:rPr>
      </w:pPr>
    </w:p>
    <w:p w14:paraId="246B36E3">
      <w:pPr>
        <w:ind w:left="560" w:firstLine="0" w:firstLineChars="0"/>
        <w:rPr>
          <w:rFonts w:ascii="Times New Roman" w:hAnsi="Times New Roman" w:eastAsia="仿宋"/>
          <w:color w:val="auto"/>
          <w:highlight w:val="none"/>
        </w:rPr>
      </w:pPr>
    </w:p>
    <w:p w14:paraId="40256048">
      <w:pPr>
        <w:ind w:left="560" w:firstLine="0" w:firstLineChars="0"/>
        <w:rPr>
          <w:rFonts w:ascii="Times New Roman" w:hAnsi="Times New Roman" w:eastAsia="仿宋"/>
          <w:color w:val="auto"/>
          <w:highlight w:val="none"/>
        </w:rPr>
      </w:pPr>
    </w:p>
    <w:p w14:paraId="74EB7E5F">
      <w:pPr>
        <w:ind w:left="560" w:firstLine="0" w:firstLineChars="0"/>
        <w:rPr>
          <w:rFonts w:ascii="Times New Roman" w:hAnsi="Times New Roman" w:eastAsia="仿宋"/>
          <w:color w:val="auto"/>
          <w:highlight w:val="none"/>
        </w:rPr>
      </w:pPr>
    </w:p>
    <w:p w14:paraId="095C0903">
      <w:pPr>
        <w:ind w:left="560" w:firstLine="0" w:firstLineChars="0"/>
        <w:rPr>
          <w:rFonts w:ascii="Times New Roman" w:hAnsi="Times New Roman" w:eastAsia="仿宋"/>
          <w:color w:val="auto"/>
          <w:highlight w:val="none"/>
        </w:rPr>
      </w:pPr>
    </w:p>
    <w:p w14:paraId="2AD26D5E">
      <w:pPr>
        <w:ind w:left="560" w:firstLine="0" w:firstLineChars="0"/>
        <w:rPr>
          <w:rFonts w:ascii="Times New Roman" w:hAnsi="Times New Roman" w:eastAsia="仿宋"/>
          <w:color w:val="auto"/>
          <w:highlight w:val="none"/>
        </w:rPr>
      </w:pPr>
    </w:p>
    <w:p w14:paraId="65BA683E">
      <w:pPr>
        <w:ind w:left="560" w:firstLine="0" w:firstLineChars="0"/>
        <w:rPr>
          <w:rFonts w:ascii="Times New Roman" w:hAnsi="Times New Roman" w:eastAsia="仿宋"/>
          <w:color w:val="auto"/>
          <w:highlight w:val="none"/>
        </w:rPr>
      </w:pPr>
    </w:p>
    <w:p w14:paraId="3B3DFC19">
      <w:pPr>
        <w:widowControl/>
        <w:numPr>
          <w:ilvl w:val="0"/>
          <w:numId w:val="6"/>
        </w:numPr>
        <w:ind w:firstLine="0" w:firstLineChars="0"/>
        <w:jc w:val="left"/>
        <w:outlineLvl w:val="1"/>
        <w:rPr>
          <w:rFonts w:ascii="Times New Roman" w:hAnsi="Times New Roman" w:eastAsia="仿宋"/>
          <w:color w:val="auto"/>
          <w:szCs w:val="28"/>
          <w:highlight w:val="none"/>
        </w:rPr>
      </w:pPr>
      <w:bookmarkStart w:id="175" w:name="_Toc105081948"/>
      <w:r>
        <w:rPr>
          <w:rFonts w:ascii="Times New Roman" w:hAnsi="Times New Roman" w:eastAsia="仿宋"/>
          <w:color w:val="auto"/>
          <w:szCs w:val="28"/>
          <w:highlight w:val="none"/>
        </w:rPr>
        <w:t>法定代表人身份证明书（格式）</w:t>
      </w:r>
      <w:bookmarkEnd w:id="173"/>
      <w:bookmarkEnd w:id="174"/>
      <w:bookmarkEnd w:id="175"/>
    </w:p>
    <w:p w14:paraId="53FD224C">
      <w:pPr>
        <w:pStyle w:val="8"/>
        <w:numPr>
          <w:ilvl w:val="255"/>
          <w:numId w:val="0"/>
        </w:numPr>
        <w:rPr>
          <w:rFonts w:ascii="Times New Roman" w:hAnsi="Times New Roman" w:eastAsia="仿宋"/>
          <w:color w:val="auto"/>
          <w:szCs w:val="28"/>
          <w:highlight w:val="none"/>
        </w:rPr>
      </w:pPr>
    </w:p>
    <w:p w14:paraId="3119A7EF">
      <w:pPr>
        <w:pStyle w:val="8"/>
        <w:numPr>
          <w:ilvl w:val="255"/>
          <w:numId w:val="0"/>
        </w:numPr>
        <w:rPr>
          <w:rFonts w:ascii="方正仿宋_GBK" w:hAnsi="方正仿宋_GBK" w:cs="方正仿宋_GBK"/>
          <w:color w:val="auto"/>
          <w:sz w:val="21"/>
          <w:szCs w:val="21"/>
          <w:highlight w:val="none"/>
        </w:rPr>
      </w:pPr>
    </w:p>
    <w:p w14:paraId="404C4BFF">
      <w:pPr>
        <w:snapToGrid w:val="0"/>
        <w:spacing w:line="600" w:lineRule="exact"/>
        <w:ind w:firstLine="0" w:firstLineChars="0"/>
        <w:jc w:val="center"/>
        <w:outlineLvl w:val="1"/>
        <w:rPr>
          <w:rFonts w:ascii="方正仿宋_GBK" w:hAnsi="方正仿宋_GBK" w:cs="方正仿宋_GBK"/>
          <w:bCs/>
          <w:color w:val="auto"/>
          <w:szCs w:val="28"/>
          <w:highlight w:val="none"/>
        </w:rPr>
      </w:pPr>
      <w:bookmarkStart w:id="176" w:name="_Toc97027596"/>
      <w:bookmarkStart w:id="177" w:name="_Toc2265"/>
      <w:bookmarkStart w:id="178" w:name="_Toc105081949"/>
      <w:r>
        <w:rPr>
          <w:rFonts w:hint="eastAsia" w:ascii="方正仿宋_GBK" w:hAnsi="方正仿宋_GBK" w:cs="方正仿宋_GBK"/>
          <w:bCs/>
          <w:color w:val="auto"/>
          <w:szCs w:val="28"/>
          <w:highlight w:val="none"/>
        </w:rPr>
        <w:t>法定代表人身份证明书</w:t>
      </w:r>
      <w:bookmarkEnd w:id="176"/>
      <w:bookmarkEnd w:id="177"/>
      <w:bookmarkEnd w:id="178"/>
    </w:p>
    <w:p w14:paraId="4A0C5D1D">
      <w:pPr>
        <w:tabs>
          <w:tab w:val="left" w:pos="6300"/>
        </w:tabs>
        <w:snapToGrid w:val="0"/>
        <w:ind w:firstLine="198" w:firstLineChars="71"/>
        <w:rPr>
          <w:rFonts w:ascii="方正仿宋_GBK" w:hAnsi="方正仿宋_GBK" w:cs="方正仿宋_GBK"/>
          <w:color w:val="auto"/>
          <w:szCs w:val="28"/>
          <w:highlight w:val="none"/>
          <w:u w:val="single"/>
        </w:rPr>
      </w:pPr>
      <w:r>
        <w:rPr>
          <w:rFonts w:hint="eastAsia" w:ascii="方正仿宋_GBK" w:hAnsi="方正仿宋_GBK" w:cs="方正仿宋_GBK"/>
          <w:color w:val="auto"/>
          <w:szCs w:val="28"/>
          <w:highlight w:val="none"/>
          <w:u w:val="single"/>
        </w:rPr>
        <w:t>（采购人名称）   :</w:t>
      </w:r>
    </w:p>
    <w:p w14:paraId="575CF574">
      <w:pPr>
        <w:tabs>
          <w:tab w:val="left" w:pos="6300"/>
        </w:tabs>
        <w:snapToGrid w:val="0"/>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（法定代表人姓名）</w:t>
      </w:r>
      <w:r>
        <w:rPr>
          <w:rFonts w:hint="eastAsia" w:ascii="方正仿宋_GBK" w:hAnsi="方正仿宋_GBK" w:cs="方正仿宋_GBK"/>
          <w:color w:val="auto"/>
          <w:szCs w:val="28"/>
          <w:highlight w:val="none"/>
        </w:rPr>
        <w:t>在</w:t>
      </w: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任</w:t>
      </w:r>
      <w:r>
        <w:rPr>
          <w:rFonts w:hint="eastAsia" w:ascii="方正仿宋_GBK" w:hAnsi="方正仿宋_GBK" w:cs="方正仿宋_GBK"/>
          <w:color w:val="auto"/>
          <w:szCs w:val="28"/>
          <w:highlight w:val="none"/>
          <w:u w:val="single"/>
        </w:rPr>
        <w:t>（职务名称）</w:t>
      </w:r>
      <w:r>
        <w:rPr>
          <w:rFonts w:hint="eastAsia" w:ascii="方正仿宋_GBK" w:hAnsi="方正仿宋_GBK" w:cs="方正仿宋_GBK"/>
          <w:color w:val="auto"/>
          <w:szCs w:val="28"/>
          <w:highlight w:val="none"/>
        </w:rPr>
        <w:t>职务，是</w:t>
      </w: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的法定代表人，联系电话为：</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w:t>
      </w:r>
    </w:p>
    <w:p w14:paraId="24414DC4">
      <w:pPr>
        <w:tabs>
          <w:tab w:val="left" w:pos="6300"/>
        </w:tabs>
        <w:snapToGrid w:val="0"/>
        <w:ind w:firstLine="560"/>
        <w:rPr>
          <w:rFonts w:ascii="方正仿宋_GBK" w:hAnsi="方正仿宋_GBK" w:cs="方正仿宋_GBK"/>
          <w:color w:val="auto"/>
          <w:szCs w:val="28"/>
          <w:highlight w:val="none"/>
        </w:rPr>
      </w:pPr>
    </w:p>
    <w:p w14:paraId="78511DE2">
      <w:pPr>
        <w:tabs>
          <w:tab w:val="left" w:pos="6300"/>
        </w:tabs>
        <w:snapToGrid w:val="0"/>
        <w:ind w:right="560" w:firstLine="560"/>
        <w:jc w:val="left"/>
        <w:rPr>
          <w:rFonts w:ascii="方正仿宋_GBK" w:hAnsi="方正仿宋_GBK" w:cs="方正仿宋_GBK"/>
          <w:color w:val="auto"/>
          <w:szCs w:val="28"/>
          <w:highlight w:val="none"/>
        </w:rPr>
      </w:pPr>
      <w:bookmarkStart w:id="179" w:name="_Toc58919196"/>
      <w:bookmarkStart w:id="180" w:name="_Toc58918987"/>
      <w:bookmarkStart w:id="181" w:name="_Toc58919068"/>
      <w:r>
        <w:rPr>
          <w:rFonts w:hint="eastAsia" w:ascii="方正仿宋_GBK" w:hAnsi="方正仿宋_GBK" w:cs="方正仿宋_GBK"/>
          <w:color w:val="auto"/>
          <w:szCs w:val="28"/>
          <w:highlight w:val="none"/>
        </w:rPr>
        <w:t>特此证明。</w:t>
      </w:r>
      <w:bookmarkEnd w:id="179"/>
      <w:bookmarkEnd w:id="180"/>
      <w:bookmarkEnd w:id="181"/>
    </w:p>
    <w:p w14:paraId="5AF46475">
      <w:pPr>
        <w:tabs>
          <w:tab w:val="left" w:pos="6300"/>
        </w:tabs>
        <w:snapToGrid w:val="0"/>
        <w:ind w:firstLine="560"/>
        <w:rPr>
          <w:rFonts w:ascii="方正仿宋_GBK" w:hAnsi="方正仿宋_GBK" w:cs="方正仿宋_GBK"/>
          <w:color w:val="auto"/>
          <w:szCs w:val="28"/>
          <w:highlight w:val="none"/>
        </w:rPr>
      </w:pPr>
    </w:p>
    <w:p w14:paraId="6CBEB1FF">
      <w:pPr>
        <w:tabs>
          <w:tab w:val="left" w:pos="6300"/>
        </w:tabs>
        <w:snapToGrid w:val="0"/>
        <w:ind w:right="560"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6ABF6724">
      <w:pPr>
        <w:tabs>
          <w:tab w:val="left" w:pos="6300"/>
        </w:tabs>
        <w:snapToGrid w:val="0"/>
        <w:ind w:firstLine="56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 xml:space="preserve">                                        年  月   日</w:t>
      </w:r>
    </w:p>
    <w:p w14:paraId="4BE4B24F">
      <w:pPr>
        <w:tabs>
          <w:tab w:val="left" w:pos="6300"/>
        </w:tabs>
        <w:snapToGrid w:val="0"/>
        <w:ind w:firstLine="560"/>
        <w:jc w:val="left"/>
        <w:rPr>
          <w:rFonts w:ascii="方正仿宋_GBK" w:hAnsi="方正仿宋_GBK" w:cs="方正仿宋_GBK"/>
          <w:color w:val="auto"/>
          <w:szCs w:val="28"/>
          <w:highlight w:val="none"/>
        </w:rPr>
      </w:pPr>
    </w:p>
    <w:p w14:paraId="1F995F90">
      <w:pPr>
        <w:tabs>
          <w:tab w:val="left" w:pos="6300"/>
        </w:tabs>
        <w:snapToGrid w:val="0"/>
        <w:spacing w:line="500" w:lineRule="exact"/>
        <w:ind w:firstLine="560"/>
        <w:rPr>
          <w:rFonts w:ascii="方正仿宋_GBK" w:hAnsi="方正仿宋_GBK" w:cs="方正仿宋_GBK"/>
          <w:color w:val="auto"/>
          <w:szCs w:val="28"/>
          <w:highlight w:val="none"/>
        </w:rPr>
      </w:pPr>
    </w:p>
    <w:p w14:paraId="59F3C923">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（附：法定代表人身份证正反面复印件）</w:t>
      </w:r>
    </w:p>
    <w:p w14:paraId="78783BE6">
      <w:pPr>
        <w:tabs>
          <w:tab w:val="left" w:pos="6300"/>
        </w:tabs>
        <w:snapToGrid w:val="0"/>
        <w:spacing w:line="500" w:lineRule="exact"/>
        <w:ind w:firstLine="420"/>
        <w:rPr>
          <w:rFonts w:ascii="方正仿宋_GBK" w:hAnsi="方正仿宋_GBK" w:cs="方正仿宋_GBK"/>
          <w:color w:val="auto"/>
          <w:sz w:val="21"/>
          <w:szCs w:val="21"/>
          <w:highlight w:val="none"/>
        </w:rPr>
      </w:pPr>
    </w:p>
    <w:p w14:paraId="379ECDE2">
      <w:pPr>
        <w:tabs>
          <w:tab w:val="left" w:pos="6300"/>
        </w:tabs>
        <w:snapToGrid w:val="0"/>
        <w:spacing w:line="500" w:lineRule="exact"/>
        <w:ind w:firstLine="420"/>
        <w:rPr>
          <w:rFonts w:ascii="方正仿宋_GBK" w:hAnsi="方正仿宋_GBK" w:cs="方正仿宋_GBK"/>
          <w:color w:val="auto"/>
          <w:sz w:val="21"/>
          <w:szCs w:val="21"/>
          <w:highlight w:val="none"/>
        </w:rPr>
      </w:pPr>
    </w:p>
    <w:p w14:paraId="624D1D28">
      <w:pPr>
        <w:tabs>
          <w:tab w:val="left" w:pos="6300"/>
        </w:tabs>
        <w:snapToGrid w:val="0"/>
        <w:spacing w:line="500" w:lineRule="exact"/>
        <w:ind w:firstLine="480"/>
        <w:rPr>
          <w:rFonts w:ascii="宋体" w:hAnsi="宋体" w:eastAsia="宋体" w:cs="宋体"/>
          <w:color w:val="auto"/>
          <w:sz w:val="24"/>
          <w:highlight w:val="none"/>
        </w:rPr>
      </w:pPr>
    </w:p>
    <w:p w14:paraId="4364815D">
      <w:pPr>
        <w:tabs>
          <w:tab w:val="left" w:pos="6300"/>
        </w:tabs>
        <w:snapToGrid w:val="0"/>
        <w:spacing w:line="500" w:lineRule="exact"/>
        <w:ind w:firstLine="480"/>
        <w:rPr>
          <w:rFonts w:ascii="Times New Roman" w:hAnsi="Times New Roman" w:eastAsia="仿宋"/>
          <w:color w:val="auto"/>
          <w:sz w:val="24"/>
          <w:highlight w:val="none"/>
        </w:rPr>
      </w:pPr>
    </w:p>
    <w:p w14:paraId="4BDBC2C7">
      <w:pPr>
        <w:tabs>
          <w:tab w:val="left" w:pos="6300"/>
        </w:tabs>
        <w:snapToGrid w:val="0"/>
        <w:spacing w:line="500" w:lineRule="exact"/>
        <w:ind w:firstLine="0" w:firstLineChars="0"/>
        <w:rPr>
          <w:rFonts w:ascii="Times New Roman" w:hAnsi="Times New Roman" w:eastAsia="仿宋"/>
          <w:color w:val="auto"/>
          <w:sz w:val="24"/>
          <w:highlight w:val="none"/>
        </w:rPr>
      </w:pPr>
    </w:p>
    <w:p w14:paraId="48CC210A">
      <w:pPr>
        <w:widowControl/>
        <w:ind w:firstLine="0" w:firstLineChars="0"/>
        <w:jc w:val="left"/>
        <w:rPr>
          <w:rFonts w:ascii="Times New Roman" w:hAnsi="Times New Roman" w:eastAsia="仿宋"/>
          <w:color w:val="auto"/>
          <w:highlight w:val="none"/>
        </w:rPr>
      </w:pPr>
      <w:r>
        <w:rPr>
          <w:rFonts w:ascii="Times New Roman" w:hAnsi="Times New Roman" w:eastAsia="仿宋"/>
          <w:color w:val="auto"/>
          <w:highlight w:val="none"/>
        </w:rPr>
        <w:br w:type="column"/>
      </w:r>
      <w:r>
        <w:rPr>
          <w:rFonts w:ascii="Times New Roman" w:hAnsi="Times New Roman" w:eastAsia="仿宋"/>
          <w:color w:val="auto"/>
          <w:szCs w:val="28"/>
          <w:highlight w:val="none"/>
        </w:rPr>
        <w:t>3.法定代表人授权委托书（格式）</w:t>
      </w:r>
    </w:p>
    <w:p w14:paraId="5A1C57D2">
      <w:pPr>
        <w:snapToGrid w:val="0"/>
        <w:spacing w:line="600" w:lineRule="exact"/>
        <w:ind w:firstLine="0" w:firstLineChars="0"/>
        <w:jc w:val="center"/>
        <w:outlineLvl w:val="0"/>
        <w:rPr>
          <w:rFonts w:ascii="方正仿宋_GBK" w:hAnsi="方正仿宋_GBK" w:cs="方正仿宋_GBK"/>
          <w:bCs/>
          <w:color w:val="auto"/>
          <w:szCs w:val="28"/>
          <w:highlight w:val="none"/>
        </w:rPr>
      </w:pPr>
      <w:bookmarkStart w:id="182" w:name="_Toc6808"/>
      <w:bookmarkStart w:id="183" w:name="_Toc6017"/>
      <w:bookmarkStart w:id="184" w:name="_Toc194572031"/>
      <w:bookmarkStart w:id="185" w:name="_Toc31928"/>
      <w:bookmarkStart w:id="186" w:name="_Toc97027597"/>
      <w:bookmarkStart w:id="187" w:name="_Toc105081950"/>
      <w:r>
        <w:rPr>
          <w:rFonts w:hint="eastAsia" w:ascii="方正仿宋_GBK" w:hAnsi="方正仿宋_GBK" w:cs="方正仿宋_GBK"/>
          <w:bCs/>
          <w:color w:val="auto"/>
          <w:szCs w:val="28"/>
          <w:highlight w:val="none"/>
        </w:rPr>
        <w:t>法定代表人授权委托书</w:t>
      </w:r>
      <w:bookmarkEnd w:id="182"/>
      <w:bookmarkEnd w:id="183"/>
      <w:bookmarkEnd w:id="184"/>
      <w:bookmarkEnd w:id="185"/>
      <w:bookmarkEnd w:id="186"/>
      <w:bookmarkEnd w:id="187"/>
    </w:p>
    <w:p w14:paraId="0C61EF4E">
      <w:pPr>
        <w:snapToGrid w:val="0"/>
        <w:spacing w:line="600" w:lineRule="exact"/>
        <w:ind w:firstLine="560"/>
        <w:jc w:val="center"/>
        <w:rPr>
          <w:rFonts w:ascii="方正仿宋_GBK" w:hAnsi="方正仿宋_GBK" w:cs="方正仿宋_GBK"/>
          <w:color w:val="auto"/>
          <w:szCs w:val="28"/>
          <w:highlight w:val="none"/>
        </w:rPr>
      </w:pPr>
    </w:p>
    <w:p w14:paraId="242638E9">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项目名称：</w:t>
      </w:r>
    </w:p>
    <w:p w14:paraId="6962179C">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致：（采购人名称）</w:t>
      </w:r>
    </w:p>
    <w:p w14:paraId="7330BB1F">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（参选人名称）是中华人民共和国合法企业，法定地址</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w:t>
      </w:r>
    </w:p>
    <w:p w14:paraId="2F879357">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（参选人法定代表人姓名）特授权</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（被授权人姓名、身份证代码及电话号码）代表我单位全权办理对上述项目的比选、签约等具体工作，并签署全部有关的文件、协议及合同。</w:t>
      </w:r>
    </w:p>
    <w:p w14:paraId="7F2C4CD7">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我单位对被授权人的签字负全部责任。</w:t>
      </w:r>
    </w:p>
    <w:p w14:paraId="618CC4F2">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在撤销授权的书面通知以前，本授权书一直有效。被授权人签署的所有文件（在授权书有效期内签署的）不因授权的撤销而失效。</w:t>
      </w:r>
    </w:p>
    <w:p w14:paraId="706C6708">
      <w:pPr>
        <w:tabs>
          <w:tab w:val="left" w:pos="6300"/>
        </w:tabs>
        <w:snapToGrid w:val="0"/>
        <w:spacing w:line="600" w:lineRule="exact"/>
        <w:ind w:firstLine="560"/>
        <w:rPr>
          <w:rFonts w:ascii="方正仿宋_GBK" w:hAnsi="方正仿宋_GBK" w:cs="方正仿宋_GBK"/>
          <w:color w:val="auto"/>
          <w:szCs w:val="28"/>
          <w:highlight w:val="none"/>
        </w:rPr>
      </w:pPr>
    </w:p>
    <w:p w14:paraId="09B9860F">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被授权人：                            法定代表人：</w:t>
      </w:r>
    </w:p>
    <w:p w14:paraId="2D58B382">
      <w:pPr>
        <w:tabs>
          <w:tab w:val="left" w:pos="6300"/>
        </w:tabs>
        <w:snapToGrid w:val="0"/>
        <w:spacing w:line="600" w:lineRule="exact"/>
        <w:ind w:firstLine="560"/>
        <w:jc w:val="lef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（签字或盖章）                       （签字或盖章）</w:t>
      </w:r>
    </w:p>
    <w:p w14:paraId="3EEB55B2">
      <w:pPr>
        <w:tabs>
          <w:tab w:val="left" w:pos="6300"/>
        </w:tabs>
        <w:snapToGrid w:val="0"/>
        <w:spacing w:line="6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654374D7">
      <w:pPr>
        <w:tabs>
          <w:tab w:val="left" w:pos="6300"/>
        </w:tabs>
        <w:snapToGrid w:val="0"/>
        <w:spacing w:line="600" w:lineRule="exact"/>
        <w:ind w:right="204"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年   月   日</w:t>
      </w:r>
    </w:p>
    <w:p w14:paraId="67E63A83">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（附：被授权人身份证复印件）</w:t>
      </w:r>
    </w:p>
    <w:p w14:paraId="065FAEB3">
      <w:pPr>
        <w:tabs>
          <w:tab w:val="left" w:pos="6300"/>
        </w:tabs>
        <w:snapToGrid w:val="0"/>
        <w:spacing w:line="600" w:lineRule="exact"/>
        <w:ind w:firstLine="480" w:firstLineChars="0"/>
        <w:rPr>
          <w:rFonts w:ascii="方正仿宋_GBK" w:hAnsi="方正仿宋_GBK" w:cs="方正仿宋_GBK"/>
          <w:color w:val="auto"/>
          <w:szCs w:val="28"/>
          <w:highlight w:val="none"/>
        </w:rPr>
      </w:pPr>
    </w:p>
    <w:p w14:paraId="1FBDCD37">
      <w:pPr>
        <w:tabs>
          <w:tab w:val="left" w:pos="6300"/>
        </w:tabs>
        <w:snapToGrid w:val="0"/>
        <w:spacing w:line="600" w:lineRule="exact"/>
        <w:ind w:firstLine="480" w:firstLineChars="0"/>
        <w:rPr>
          <w:rFonts w:ascii="方正仿宋_GBK" w:hAnsi="方正仿宋_GBK" w:cs="方正仿宋_GBK"/>
          <w:b/>
          <w:bCs/>
          <w:color w:val="auto"/>
          <w:szCs w:val="28"/>
          <w:highlight w:val="none"/>
        </w:rPr>
      </w:pPr>
      <w:r>
        <w:rPr>
          <w:rFonts w:hint="eastAsia" w:ascii="方正仿宋_GBK" w:hAnsi="方正仿宋_GBK" w:cs="方正仿宋_GBK"/>
          <w:b/>
          <w:bCs/>
          <w:color w:val="auto"/>
          <w:szCs w:val="28"/>
          <w:highlight w:val="none"/>
        </w:rPr>
        <w:t>注：若为法定代表人办理并签署比选文件的，不提供此文件。</w:t>
      </w:r>
    </w:p>
    <w:p w14:paraId="4F7675B2">
      <w:pPr>
        <w:widowControl/>
        <w:numPr>
          <w:ilvl w:val="255"/>
          <w:numId w:val="0"/>
        </w:numPr>
        <w:jc w:val="left"/>
        <w:rPr>
          <w:rFonts w:ascii="Times New Roman" w:hAnsi="Times New Roman" w:eastAsia="仿宋"/>
          <w:color w:val="auto"/>
          <w:szCs w:val="28"/>
          <w:highlight w:val="none"/>
        </w:rPr>
      </w:pPr>
      <w:r>
        <w:rPr>
          <w:rFonts w:hint="eastAsia" w:ascii="方正仿宋_GBK" w:hAnsi="方正仿宋_GBK" w:cs="方正仿宋_GBK"/>
          <w:color w:val="auto"/>
          <w:sz w:val="21"/>
          <w:szCs w:val="21"/>
          <w:highlight w:val="none"/>
        </w:rPr>
        <w:br w:type="column"/>
      </w:r>
      <w:r>
        <w:rPr>
          <w:rFonts w:hint="eastAsia" w:ascii="Times New Roman" w:hAnsi="Times New Roman" w:eastAsia="仿宋"/>
          <w:color w:val="auto"/>
          <w:highlight w:val="none"/>
        </w:rPr>
        <w:t>4.</w:t>
      </w:r>
      <w:r>
        <w:rPr>
          <w:rFonts w:ascii="Times New Roman" w:hAnsi="Times New Roman" w:eastAsia="仿宋"/>
          <w:color w:val="auto"/>
          <w:szCs w:val="28"/>
          <w:highlight w:val="none"/>
        </w:rPr>
        <w:t>基本资格条件承诺函</w:t>
      </w:r>
    </w:p>
    <w:p w14:paraId="0E8E08C8">
      <w:pPr>
        <w:pStyle w:val="8"/>
        <w:numPr>
          <w:ilvl w:val="255"/>
          <w:numId w:val="0"/>
        </w:numPr>
        <w:rPr>
          <w:color w:val="auto"/>
          <w:highlight w:val="none"/>
        </w:rPr>
      </w:pPr>
    </w:p>
    <w:p w14:paraId="79F38F55">
      <w:pPr>
        <w:spacing w:line="530" w:lineRule="exact"/>
        <w:ind w:firstLine="562"/>
        <w:jc w:val="center"/>
        <w:outlineLvl w:val="0"/>
        <w:rPr>
          <w:rFonts w:ascii="方正仿宋_GBK" w:hAnsi="方正仿宋_GBK" w:cs="方正仿宋_GBK"/>
          <w:b/>
          <w:bCs/>
          <w:color w:val="auto"/>
          <w:szCs w:val="28"/>
          <w:highlight w:val="none"/>
        </w:rPr>
      </w:pPr>
      <w:bookmarkStart w:id="188" w:name="_Toc194572032"/>
      <w:r>
        <w:rPr>
          <w:rFonts w:hint="eastAsia" w:ascii="方正仿宋_GBK" w:hAnsi="方正仿宋_GBK" w:cs="方正仿宋_GBK"/>
          <w:b/>
          <w:bCs/>
          <w:color w:val="auto"/>
          <w:szCs w:val="28"/>
          <w:highlight w:val="none"/>
        </w:rPr>
        <w:t>基本资格条件承诺函</w:t>
      </w:r>
      <w:bookmarkEnd w:id="188"/>
    </w:p>
    <w:p w14:paraId="0FCEB64E">
      <w:pPr>
        <w:tabs>
          <w:tab w:val="left" w:pos="6300"/>
        </w:tabs>
        <w:snapToGrid w:val="0"/>
        <w:spacing w:line="530" w:lineRule="exact"/>
        <w:ind w:firstLine="0" w:firstLineChars="0"/>
        <w:rPr>
          <w:rFonts w:ascii="方正仿宋_GBK" w:hAnsi="方正仿宋_GBK" w:cs="方正仿宋_GBK"/>
          <w:color w:val="auto"/>
          <w:szCs w:val="28"/>
          <w:highlight w:val="none"/>
        </w:rPr>
      </w:pPr>
    </w:p>
    <w:p w14:paraId="08347CB8">
      <w:pPr>
        <w:tabs>
          <w:tab w:val="left" w:pos="6300"/>
        </w:tabs>
        <w:snapToGrid w:val="0"/>
        <w:spacing w:line="530" w:lineRule="exact"/>
        <w:ind w:firstLine="0" w:firstLineChars="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（采购人名称）：</w:t>
      </w:r>
    </w:p>
    <w:p w14:paraId="60A16307">
      <w:pPr>
        <w:tabs>
          <w:tab w:val="left" w:pos="6300"/>
        </w:tabs>
        <w:snapToGrid w:val="0"/>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（参选人名称）</w:t>
      </w:r>
      <w:r>
        <w:rPr>
          <w:rFonts w:hint="eastAsia" w:ascii="方正仿宋_GBK" w:hAnsi="方正仿宋_GBK" w:cs="方正仿宋_GBK"/>
          <w:color w:val="auto"/>
          <w:szCs w:val="28"/>
          <w:highlight w:val="none"/>
        </w:rPr>
        <w:t>郑重承诺：</w:t>
      </w:r>
    </w:p>
    <w:p w14:paraId="2A60E89F">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1.我方具有良好的商业信誉和健全的财务会计制度，具有履行合同所必需的设备和专业技术能力，具有依法缴纳税收和社会保障金的良好记录，参加本项目采购活动前三年内无重大违法活动记录。</w:t>
      </w:r>
    </w:p>
    <w:p w14:paraId="62C8F6DF">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2.我方未列入信用中国网站（www.creditchina.gov.cn）“失信被执行人”“重大税收违法案件当事人名单”中。</w:t>
      </w:r>
    </w:p>
    <w:p w14:paraId="52B3C46B">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3.我方在采购项目评审（评选）环节结束后，随时接受采购人的检查验证，配合提供相关证明材料，证明符合比选文件规定的参选人基本资格条件。</w:t>
      </w:r>
    </w:p>
    <w:p w14:paraId="55831CEE">
      <w:pPr>
        <w:tabs>
          <w:tab w:val="left" w:pos="6300"/>
        </w:tabs>
        <w:snapToGrid w:val="0"/>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我方对以上承诺负全部法律责任。</w:t>
      </w:r>
    </w:p>
    <w:p w14:paraId="21F9AB0F">
      <w:pPr>
        <w:tabs>
          <w:tab w:val="left" w:pos="6300"/>
        </w:tabs>
        <w:snapToGrid w:val="0"/>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特此承诺。</w:t>
      </w:r>
    </w:p>
    <w:p w14:paraId="022414B4">
      <w:pPr>
        <w:tabs>
          <w:tab w:val="left" w:pos="6300"/>
        </w:tabs>
        <w:snapToGrid w:val="0"/>
        <w:spacing w:line="530" w:lineRule="exact"/>
        <w:ind w:firstLine="0" w:firstLineChars="0"/>
        <w:rPr>
          <w:rFonts w:ascii="方正仿宋_GBK" w:hAnsi="方正仿宋_GBK" w:cs="方正仿宋_GBK"/>
          <w:color w:val="auto"/>
          <w:szCs w:val="28"/>
          <w:highlight w:val="none"/>
        </w:rPr>
      </w:pPr>
    </w:p>
    <w:p w14:paraId="3D3ADDFC">
      <w:pPr>
        <w:tabs>
          <w:tab w:val="left" w:pos="6300"/>
        </w:tabs>
        <w:snapToGrid w:val="0"/>
        <w:spacing w:line="530" w:lineRule="exact"/>
        <w:ind w:right="424" w:firstLine="57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1662E6EA">
      <w:pPr>
        <w:tabs>
          <w:tab w:val="left" w:pos="6300"/>
        </w:tabs>
        <w:snapToGrid w:val="0"/>
        <w:spacing w:line="500" w:lineRule="exact"/>
        <w:ind w:firstLine="0" w:firstLineChars="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 xml:space="preserve">                                              年   月   日</w:t>
      </w:r>
    </w:p>
    <w:p w14:paraId="6B416BBB">
      <w:pPr>
        <w:widowControl/>
        <w:ind w:firstLine="0" w:firstLineChars="0"/>
        <w:jc w:val="left"/>
        <w:rPr>
          <w:rFonts w:ascii="方正仿宋_GBK" w:hAnsi="方正仿宋_GBK" w:cs="方正仿宋_GBK"/>
          <w:color w:val="auto"/>
          <w:sz w:val="21"/>
          <w:szCs w:val="21"/>
          <w:highlight w:val="none"/>
        </w:rPr>
      </w:pPr>
    </w:p>
    <w:p w14:paraId="47CEE523">
      <w:pPr>
        <w:tabs>
          <w:tab w:val="left" w:pos="6300"/>
        </w:tabs>
        <w:snapToGrid w:val="0"/>
        <w:spacing w:line="500" w:lineRule="exact"/>
        <w:ind w:firstLine="420"/>
        <w:jc w:val="center"/>
        <w:rPr>
          <w:rFonts w:ascii="方正仿宋_GBK" w:hAnsi="方正仿宋_GBK" w:cs="方正仿宋_GBK"/>
          <w:color w:val="auto"/>
          <w:sz w:val="21"/>
          <w:szCs w:val="21"/>
          <w:highlight w:val="none"/>
        </w:rPr>
      </w:pPr>
    </w:p>
    <w:p w14:paraId="67394176">
      <w:pPr>
        <w:tabs>
          <w:tab w:val="left" w:pos="6300"/>
        </w:tabs>
        <w:snapToGrid w:val="0"/>
        <w:spacing w:line="500" w:lineRule="exact"/>
        <w:ind w:firstLine="560"/>
        <w:jc w:val="center"/>
        <w:rPr>
          <w:rFonts w:ascii="Times New Roman" w:hAnsi="Times New Roman" w:eastAsia="仿宋"/>
          <w:color w:val="auto"/>
          <w:highlight w:val="none"/>
        </w:rPr>
      </w:pPr>
    </w:p>
    <w:p w14:paraId="1A912C3A">
      <w:pPr>
        <w:tabs>
          <w:tab w:val="left" w:pos="6300"/>
        </w:tabs>
        <w:snapToGrid w:val="0"/>
        <w:spacing w:line="500" w:lineRule="exact"/>
        <w:ind w:firstLine="560"/>
        <w:jc w:val="center"/>
        <w:rPr>
          <w:rFonts w:ascii="Times New Roman" w:hAnsi="Times New Roman" w:eastAsia="仿宋"/>
          <w:color w:val="auto"/>
          <w:highlight w:val="none"/>
        </w:rPr>
      </w:pPr>
    </w:p>
    <w:p w14:paraId="4E5A772D">
      <w:pPr>
        <w:tabs>
          <w:tab w:val="left" w:pos="6300"/>
        </w:tabs>
        <w:snapToGrid w:val="0"/>
        <w:spacing w:line="500" w:lineRule="exact"/>
        <w:ind w:firstLine="0" w:firstLineChars="0"/>
        <w:jc w:val="left"/>
        <w:rPr>
          <w:rFonts w:ascii="Times New Roman" w:hAnsi="Times New Roman" w:eastAsia="仿宋"/>
          <w:color w:val="auto"/>
          <w:szCs w:val="28"/>
          <w:highlight w:val="none"/>
        </w:rPr>
      </w:pPr>
      <w:r>
        <w:rPr>
          <w:rFonts w:ascii="Times New Roman" w:hAnsi="Times New Roman" w:eastAsia="仿宋"/>
          <w:color w:val="auto"/>
          <w:highlight w:val="none"/>
        </w:rPr>
        <w:t>5.承诺函（格式自拟）</w:t>
      </w:r>
    </w:p>
    <w:p w14:paraId="7F9AC579">
      <w:pPr>
        <w:pStyle w:val="15"/>
        <w:ind w:firstLine="480"/>
        <w:rPr>
          <w:rFonts w:eastAsia="仿宋"/>
          <w:color w:val="auto"/>
          <w:highlight w:val="none"/>
        </w:rPr>
      </w:pPr>
    </w:p>
    <w:p w14:paraId="6F96A1C6">
      <w:pPr>
        <w:snapToGrid w:val="0"/>
        <w:spacing w:line="560" w:lineRule="exact"/>
        <w:ind w:firstLine="560"/>
        <w:jc w:val="center"/>
        <w:rPr>
          <w:rFonts w:ascii="方正仿宋_GBK" w:hAnsi="方正仿宋_GBK" w:cs="方正仿宋_GBK"/>
          <w:bCs/>
          <w:color w:val="auto"/>
          <w:szCs w:val="28"/>
          <w:highlight w:val="none"/>
        </w:rPr>
      </w:pPr>
      <w:r>
        <w:rPr>
          <w:rFonts w:hint="eastAsia" w:ascii="方正仿宋_GBK" w:hAnsi="方正仿宋_GBK" w:cs="方正仿宋_GBK"/>
          <w:bCs/>
          <w:color w:val="auto"/>
          <w:szCs w:val="28"/>
          <w:highlight w:val="none"/>
        </w:rPr>
        <w:t>承诺函</w:t>
      </w:r>
    </w:p>
    <w:p w14:paraId="00C91BA6">
      <w:pPr>
        <w:snapToGrid w:val="0"/>
        <w:spacing w:line="500" w:lineRule="exact"/>
        <w:ind w:firstLine="560"/>
        <w:rPr>
          <w:rFonts w:ascii="方正仿宋_GBK" w:hAnsi="方正仿宋_GBK" w:cs="方正仿宋_GBK"/>
          <w:bCs/>
          <w:color w:val="auto"/>
          <w:szCs w:val="28"/>
          <w:highlight w:val="none"/>
        </w:rPr>
      </w:pPr>
      <w:r>
        <w:rPr>
          <w:rFonts w:hint="eastAsia" w:ascii="方正仿宋_GBK" w:hAnsi="方正仿宋_GBK" w:cs="方正仿宋_GBK"/>
          <w:bCs/>
          <w:color w:val="auto"/>
          <w:szCs w:val="28"/>
          <w:highlight w:val="none"/>
        </w:rPr>
        <w:t xml:space="preserve"> </w:t>
      </w:r>
    </w:p>
    <w:p w14:paraId="3E366661">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（采购人）：</w:t>
      </w:r>
    </w:p>
    <w:p w14:paraId="48025E1F">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我单位在参加</w:t>
      </w:r>
      <w:r>
        <w:rPr>
          <w:rFonts w:hint="eastAsia" w:ascii="方正仿宋_GBK" w:hAnsi="方正仿宋_GBK" w:cs="方正仿宋_GBK"/>
          <w:color w:val="auto"/>
          <w:szCs w:val="28"/>
          <w:highlight w:val="none"/>
          <w:u w:val="single"/>
        </w:rPr>
        <w:t xml:space="preserve">           （项目名称）</w:t>
      </w:r>
      <w:r>
        <w:rPr>
          <w:rFonts w:hint="eastAsia" w:ascii="方正仿宋_GBK" w:hAnsi="方正仿宋_GBK" w:cs="方正仿宋_GBK"/>
          <w:color w:val="auto"/>
          <w:szCs w:val="28"/>
          <w:highlight w:val="none"/>
        </w:rPr>
        <w:t>采购活动中，郑重承诺不存在下列情形：</w:t>
      </w:r>
    </w:p>
    <w:p w14:paraId="1DE1AA20">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1.单位股东非华龙网公司员工及配偶、员工子女及其配偶；</w:t>
      </w:r>
    </w:p>
    <w:p w14:paraId="75483F73">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2.单位负责人为同一人或者存在直接控股、管理关系的不同参选人，不得参加同一合同项（包）下的比选活动”。</w:t>
      </w:r>
    </w:p>
    <w:p w14:paraId="6FB716F6">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我单位若有违反本承诺内容的行为，愿意承担法律责任，愿意接受相关规定做出的处罚。</w:t>
      </w:r>
    </w:p>
    <w:p w14:paraId="5DF8C2B1">
      <w:pPr>
        <w:spacing w:line="530" w:lineRule="exact"/>
        <w:ind w:firstLine="560"/>
        <w:rPr>
          <w:rFonts w:ascii="方正仿宋_GBK" w:hAnsi="方正仿宋_GBK" w:cs="方正仿宋_GBK"/>
          <w:color w:val="auto"/>
          <w:szCs w:val="28"/>
          <w:highlight w:val="none"/>
        </w:rPr>
      </w:pPr>
    </w:p>
    <w:p w14:paraId="2B51ECB9">
      <w:pPr>
        <w:spacing w:line="530" w:lineRule="exact"/>
        <w:ind w:firstLine="560"/>
        <w:rPr>
          <w:rFonts w:ascii="方正仿宋_GBK" w:hAnsi="方正仿宋_GBK" w:cs="方正仿宋_GBK"/>
          <w:color w:val="auto"/>
          <w:szCs w:val="28"/>
          <w:highlight w:val="none"/>
        </w:rPr>
      </w:pPr>
    </w:p>
    <w:p w14:paraId="1037FC07">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参选人法定代表人签字：</w:t>
      </w:r>
    </w:p>
    <w:p w14:paraId="4ECC5097">
      <w:pPr>
        <w:snapToGrid w:val="0"/>
        <w:spacing w:line="500" w:lineRule="exact"/>
        <w:ind w:firstLine="560"/>
        <w:rPr>
          <w:rFonts w:ascii="方正仿宋_GBK" w:hAnsi="方正仿宋_GBK" w:cs="方正仿宋_GBK"/>
          <w:bCs/>
          <w:color w:val="auto"/>
          <w:szCs w:val="28"/>
          <w:highlight w:val="none"/>
        </w:rPr>
      </w:pPr>
    </w:p>
    <w:p w14:paraId="0F3C911B">
      <w:pPr>
        <w:snapToGrid w:val="0"/>
        <w:spacing w:line="500" w:lineRule="exact"/>
        <w:ind w:firstLine="560"/>
        <w:rPr>
          <w:rFonts w:ascii="方正仿宋_GBK" w:hAnsi="方正仿宋_GBK" w:cs="方正仿宋_GBK"/>
          <w:bCs/>
          <w:color w:val="auto"/>
          <w:szCs w:val="28"/>
          <w:highlight w:val="none"/>
        </w:rPr>
      </w:pPr>
    </w:p>
    <w:p w14:paraId="21976551">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4816AA38">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ab/>
      </w:r>
      <w:r>
        <w:rPr>
          <w:rFonts w:hint="eastAsia" w:ascii="方正仿宋_GBK" w:hAnsi="方正仿宋_GBK" w:cs="方正仿宋_GBK"/>
          <w:color w:val="auto"/>
          <w:szCs w:val="28"/>
          <w:highlight w:val="none"/>
        </w:rPr>
        <w:t xml:space="preserve">                                       年    月    日</w:t>
      </w:r>
    </w:p>
    <w:p w14:paraId="288CFF5C">
      <w:pPr>
        <w:ind w:firstLine="560"/>
        <w:rPr>
          <w:rFonts w:ascii="Times New Roman" w:hAnsi="Times New Roman" w:eastAsia="仿宋"/>
          <w:color w:val="auto"/>
          <w:szCs w:val="28"/>
          <w:highlight w:val="none"/>
        </w:rPr>
      </w:pPr>
    </w:p>
    <w:p w14:paraId="442D3E2B">
      <w:pPr>
        <w:pStyle w:val="15"/>
        <w:ind w:firstLine="480"/>
        <w:rPr>
          <w:rFonts w:eastAsia="仿宋"/>
          <w:color w:val="auto"/>
          <w:highlight w:val="none"/>
        </w:rPr>
      </w:pPr>
    </w:p>
    <w:p w14:paraId="16B6D7FB">
      <w:pPr>
        <w:pStyle w:val="25"/>
        <w:ind w:firstLine="0" w:firstLineChars="0"/>
        <w:rPr>
          <w:color w:val="auto"/>
          <w:highlight w:val="none"/>
        </w:rPr>
      </w:pPr>
    </w:p>
    <w:p w14:paraId="63F0FDB1">
      <w:pPr>
        <w:pStyle w:val="25"/>
        <w:ind w:firstLine="0" w:firstLineChars="0"/>
        <w:rPr>
          <w:color w:val="auto"/>
          <w:highlight w:val="none"/>
        </w:rPr>
      </w:pPr>
    </w:p>
    <w:p w14:paraId="75F8C921">
      <w:pPr>
        <w:pStyle w:val="25"/>
        <w:ind w:firstLine="0" w:firstLineChars="0"/>
        <w:rPr>
          <w:color w:val="auto"/>
          <w:highlight w:val="none"/>
        </w:rPr>
      </w:pPr>
    </w:p>
    <w:p w14:paraId="7F888249">
      <w:pPr>
        <w:widowControl/>
        <w:spacing w:line="240" w:lineRule="auto"/>
        <w:ind w:firstLine="0" w:firstLineChars="0"/>
        <w:jc w:val="left"/>
        <w:rPr>
          <w:rFonts w:ascii="Times New Roman" w:hAnsi="Times New Roman" w:eastAsia="仿宋"/>
          <w:b/>
          <w:bCs/>
          <w:color w:val="auto"/>
          <w:sz w:val="32"/>
          <w:szCs w:val="32"/>
          <w:highlight w:val="none"/>
        </w:rPr>
      </w:pPr>
      <w:r>
        <w:rPr>
          <w:rFonts w:ascii="Times New Roman" w:hAnsi="Times New Roman" w:eastAsia="仿宋"/>
          <w:color w:val="auto"/>
          <w:szCs w:val="28"/>
          <w:highlight w:val="none"/>
        </w:rPr>
        <w:t>6.诚信声明</w:t>
      </w:r>
      <w:bookmarkEnd w:id="141"/>
      <w:bookmarkEnd w:id="142"/>
      <w:bookmarkEnd w:id="143"/>
      <w:bookmarkEnd w:id="144"/>
      <w:bookmarkEnd w:id="145"/>
    </w:p>
    <w:p w14:paraId="32FB1D03">
      <w:pPr>
        <w:tabs>
          <w:tab w:val="left" w:pos="6300"/>
        </w:tabs>
        <w:spacing w:line="360" w:lineRule="auto"/>
        <w:ind w:firstLine="0" w:firstLineChars="0"/>
        <w:jc w:val="center"/>
        <w:rPr>
          <w:rFonts w:ascii="方正仿宋_GBK" w:hAnsi="方正仿宋_GBK" w:cs="方正仿宋_GBK"/>
          <w:b/>
          <w:bCs/>
          <w:color w:val="auto"/>
          <w:szCs w:val="28"/>
          <w:highlight w:val="none"/>
        </w:rPr>
      </w:pPr>
      <w:r>
        <w:rPr>
          <w:rFonts w:hint="eastAsia" w:ascii="方正仿宋_GBK" w:hAnsi="方正仿宋_GBK" w:cs="方正仿宋_GBK"/>
          <w:b/>
          <w:bCs/>
          <w:color w:val="auto"/>
          <w:szCs w:val="28"/>
          <w:highlight w:val="none"/>
        </w:rPr>
        <w:t>诚信声明</w:t>
      </w:r>
    </w:p>
    <w:p w14:paraId="6694C48B">
      <w:pPr>
        <w:tabs>
          <w:tab w:val="left" w:pos="6300"/>
        </w:tabs>
        <w:snapToGrid w:val="0"/>
        <w:spacing w:line="500" w:lineRule="exact"/>
        <w:ind w:firstLine="0" w:firstLineChars="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（采购人）：</w:t>
      </w:r>
    </w:p>
    <w:p w14:paraId="7444FB22">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我单位在参加贵司组织的</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（项目名称）竞争性比选活动中，郑重承诺如下：</w:t>
      </w:r>
    </w:p>
    <w:p w14:paraId="1563441C">
      <w:pPr>
        <w:spacing w:line="530" w:lineRule="exact"/>
        <w:ind w:firstLine="560"/>
        <w:rPr>
          <w:rFonts w:ascii="方正仿宋_GBK" w:hAnsi="方正仿宋_GBK" w:cs="方正仿宋_GBK"/>
          <w:color w:val="auto"/>
          <w:spacing w:val="-6"/>
          <w:szCs w:val="28"/>
          <w:highlight w:val="none"/>
        </w:rPr>
      </w:pPr>
      <w:r>
        <w:rPr>
          <w:rFonts w:hint="eastAsia" w:ascii="方正仿宋_GBK" w:hAnsi="方正仿宋_GBK" w:cs="方正仿宋_GBK"/>
          <w:color w:val="auto"/>
          <w:szCs w:val="28"/>
          <w:highlight w:val="none"/>
        </w:rPr>
        <w:t>1.遵循公</w:t>
      </w:r>
      <w:r>
        <w:rPr>
          <w:rFonts w:hint="eastAsia" w:ascii="方正仿宋_GBK" w:hAnsi="方正仿宋_GBK" w:cs="方正仿宋_GBK"/>
          <w:color w:val="auto"/>
          <w:spacing w:val="-6"/>
          <w:szCs w:val="28"/>
          <w:highlight w:val="none"/>
        </w:rPr>
        <w:t>开、公平、公正和诚实守信的原则参加该项目竞争性比选活动；</w:t>
      </w:r>
    </w:p>
    <w:p w14:paraId="1C38AA49">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2.所提供的一切材料都是真实、有效、合法的；</w:t>
      </w:r>
    </w:p>
    <w:p w14:paraId="44E96A44">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3.不与参与此次竞争性比选活动的其他参选人相互串通报价，不排挤其他参选人的公平竞争；</w:t>
      </w:r>
    </w:p>
    <w:p w14:paraId="499E91F0">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4.不向采购人成员贿赂以牟取中选；</w:t>
      </w:r>
    </w:p>
    <w:p w14:paraId="635178DB">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5.不以他人名义参与此次竞争性比选活动或者以其他方式弄虚作假；</w:t>
      </w:r>
    </w:p>
    <w:p w14:paraId="47964D23">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6.不恶意压低或抬高报价；</w:t>
      </w:r>
    </w:p>
    <w:p w14:paraId="6C1A20E9">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7.不在竞争性比选活动后进行虚假恶意投诉；</w:t>
      </w:r>
    </w:p>
    <w:p w14:paraId="416D8BBF">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8.我单位一旦中选，不进行违法分包、转包，按照比选邀请函要求的时间与贵司签订合同，并严格按照采购人的要求完成本次项目。</w:t>
      </w:r>
    </w:p>
    <w:p w14:paraId="2296F707">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我单位若有违反本承诺内容的行为，愿意承担法律责任，愿意接受相关规定做出的处罚。</w:t>
      </w:r>
    </w:p>
    <w:p w14:paraId="148F9CD0">
      <w:pPr>
        <w:spacing w:line="530" w:lineRule="exact"/>
        <w:ind w:firstLine="560"/>
        <w:rPr>
          <w:rFonts w:ascii="方正仿宋_GBK" w:hAnsi="方正仿宋_GBK" w:cs="方正仿宋_GBK"/>
          <w:color w:val="auto"/>
          <w:szCs w:val="28"/>
          <w:highlight w:val="none"/>
        </w:rPr>
      </w:pPr>
    </w:p>
    <w:p w14:paraId="1016617E">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参选人法定代表人签字：</w:t>
      </w:r>
    </w:p>
    <w:p w14:paraId="45A6D625">
      <w:pPr>
        <w:tabs>
          <w:tab w:val="left" w:pos="6300"/>
        </w:tabs>
        <w:snapToGrid w:val="0"/>
        <w:spacing w:line="360" w:lineRule="auto"/>
        <w:ind w:firstLine="560"/>
        <w:rPr>
          <w:rFonts w:ascii="方正仿宋_GBK" w:hAnsi="方正仿宋_GBK" w:cs="方正仿宋_GBK"/>
          <w:color w:val="auto"/>
          <w:szCs w:val="28"/>
          <w:highlight w:val="none"/>
        </w:rPr>
      </w:pPr>
    </w:p>
    <w:p w14:paraId="2C722C33">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33166370">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ab/>
      </w:r>
      <w:r>
        <w:rPr>
          <w:rFonts w:hint="eastAsia" w:ascii="方正仿宋_GBK" w:hAnsi="方正仿宋_GBK" w:cs="方正仿宋_GBK"/>
          <w:color w:val="auto"/>
          <w:szCs w:val="28"/>
          <w:highlight w:val="none"/>
        </w:rPr>
        <w:t xml:space="preserve">                                       年    月    日</w:t>
      </w:r>
      <w:bookmarkStart w:id="189" w:name="_Toc194572033"/>
      <w:bookmarkStart w:id="190" w:name="_Toc16237"/>
      <w:bookmarkStart w:id="191" w:name="_Toc20481"/>
    </w:p>
    <w:p w14:paraId="05879CD1">
      <w:pPr>
        <w:pStyle w:val="15"/>
        <w:ind w:firstLine="480"/>
        <w:rPr>
          <w:color w:val="auto"/>
          <w:highlight w:val="none"/>
        </w:rPr>
      </w:pPr>
    </w:p>
    <w:p w14:paraId="7CF1A164">
      <w:pPr>
        <w:widowControl/>
        <w:spacing w:line="500" w:lineRule="exact"/>
        <w:ind w:firstLine="0" w:firstLineChars="0"/>
        <w:jc w:val="left"/>
        <w:rPr>
          <w:rFonts w:ascii="Times New Roman" w:hAnsi="Times New Roman" w:eastAsia="仿宋"/>
          <w:color w:val="auto"/>
          <w:highlight w:val="none"/>
        </w:rPr>
      </w:pPr>
      <w:r>
        <w:rPr>
          <w:rFonts w:hint="eastAsia" w:ascii="Times New Roman" w:hAnsi="Times New Roman" w:eastAsia="仿宋"/>
          <w:color w:val="auto"/>
          <w:highlight w:val="none"/>
        </w:rPr>
        <w:t>7.特定资格条件</w:t>
      </w:r>
    </w:p>
    <w:p w14:paraId="11E85827">
      <w:pPr>
        <w:spacing w:line="240" w:lineRule="auto"/>
        <w:ind w:firstLine="0" w:firstLineChars="0"/>
        <w:rPr>
          <w:rFonts w:ascii="Times New Roman" w:hAnsi="Times New Roman"/>
          <w:color w:val="auto"/>
          <w:szCs w:val="28"/>
          <w:highlight w:val="none"/>
        </w:rPr>
      </w:pPr>
      <w:r>
        <w:rPr>
          <w:rFonts w:hint="eastAsia" w:ascii="Times New Roman" w:hAnsi="Times New Roman"/>
          <w:color w:val="auto"/>
          <w:szCs w:val="28"/>
          <w:highlight w:val="none"/>
        </w:rPr>
        <w:t>《网络安全服务认证证书等级保护测评服务认证》</w:t>
      </w:r>
    </w:p>
    <w:p w14:paraId="73663F87">
      <w:pPr>
        <w:spacing w:line="240" w:lineRule="auto"/>
        <w:ind w:firstLine="560" w:firstLineChars="0"/>
        <w:rPr>
          <w:rFonts w:ascii="Times New Roman" w:hAnsi="Times New Roman"/>
          <w:color w:val="auto"/>
          <w:szCs w:val="28"/>
          <w:highlight w:val="none"/>
        </w:rPr>
      </w:pPr>
    </w:p>
    <w:p w14:paraId="5CC97422">
      <w:pPr>
        <w:pStyle w:val="2"/>
        <w:ind w:firstLine="560"/>
        <w:jc w:val="center"/>
        <w:rPr>
          <w:rFonts w:ascii="Times New Roman" w:hAnsi="Times New Roman" w:eastAsia="仿宋" w:cs="Times New Roman"/>
          <w:color w:val="auto"/>
          <w:sz w:val="28"/>
          <w:szCs w:val="24"/>
          <w:highlight w:val="none"/>
        </w:rPr>
      </w:pPr>
    </w:p>
    <w:p w14:paraId="37793177">
      <w:pPr>
        <w:pStyle w:val="2"/>
        <w:ind w:firstLine="562"/>
        <w:jc w:val="center"/>
        <w:rPr>
          <w:rFonts w:ascii="Times New Roman" w:hAnsi="Times New Roman" w:eastAsia="仿宋" w:cs="Times New Roman"/>
          <w:b/>
          <w:bCs/>
          <w:color w:val="auto"/>
          <w:sz w:val="28"/>
          <w:szCs w:val="28"/>
          <w:highlight w:val="none"/>
        </w:rPr>
      </w:pPr>
    </w:p>
    <w:p w14:paraId="3F6B7866">
      <w:pPr>
        <w:pStyle w:val="2"/>
        <w:ind w:firstLine="562"/>
        <w:jc w:val="center"/>
        <w:rPr>
          <w:rFonts w:ascii="Times New Roman" w:hAnsi="Times New Roman" w:eastAsia="仿宋" w:cs="Times New Roman"/>
          <w:b/>
          <w:bCs/>
          <w:color w:val="auto"/>
          <w:sz w:val="28"/>
          <w:szCs w:val="28"/>
          <w:highlight w:val="none"/>
        </w:rPr>
      </w:pPr>
      <w:r>
        <w:rPr>
          <w:rFonts w:ascii="Times New Roman" w:hAnsi="Times New Roman" w:eastAsia="仿宋" w:cs="Times New Roman"/>
          <w:b/>
          <w:bCs/>
          <w:color w:val="auto"/>
          <w:sz w:val="28"/>
          <w:szCs w:val="28"/>
          <w:highlight w:val="none"/>
        </w:rPr>
        <w:t>（结束）</w:t>
      </w:r>
      <w:bookmarkEnd w:id="189"/>
      <w:bookmarkEnd w:id="190"/>
      <w:bookmarkEnd w:id="191"/>
    </w:p>
    <w:p w14:paraId="18F6B68D">
      <w:pPr>
        <w:ind w:firstLine="560"/>
        <w:rPr>
          <w:rFonts w:ascii="Times New Roman" w:hAnsi="Times New Roman" w:eastAsia="仿宋"/>
          <w:color w:val="auto"/>
          <w:highlight w:val="none"/>
        </w:rPr>
      </w:pPr>
    </w:p>
    <w:p w14:paraId="4BC5FC5D">
      <w:pPr>
        <w:ind w:firstLine="560"/>
        <w:rPr>
          <w:color w:val="auto"/>
          <w:highlight w:val="none"/>
        </w:rPr>
      </w:pPr>
    </w:p>
    <w:sectPr>
      <w:headerReference r:id="rId11" w:type="default"/>
      <w:footerReference r:id="rId12" w:type="default"/>
      <w:pgSz w:w="11906" w:h="16838"/>
      <w:pgMar w:top="2098" w:right="1531" w:bottom="1985" w:left="1531" w:header="851" w:footer="567" w:gutter="0"/>
      <w:pgNumType w:start="1"/>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embedRegular r:id="rId1" w:fontKey="{D40D452B-FFBA-4C8A-9CD4-14EF5BDF95AF}"/>
  </w:font>
  <w:font w:name="宋体">
    <w:panose1 w:val="02010600030101010101"/>
    <w:charset w:val="50"/>
    <w:family w:val="auto"/>
    <w:pitch w:val="default"/>
    <w:sig w:usb0="00000203" w:usb1="288F0000" w:usb2="00000006" w:usb3="00000000" w:csb0="00040001" w:csb1="00000000"/>
    <w:embedRegular r:id="rId2" w:fontKey="{E2077554-486C-4497-8361-947C4FAE95FA}"/>
  </w:font>
  <w:font w:name="Wingdings">
    <w:panose1 w:val="05000000000000000000"/>
    <w:charset w:val="02"/>
    <w:family w:val="auto"/>
    <w:pitch w:val="default"/>
    <w:sig w:usb0="00000000" w:usb1="00000000" w:usb2="00000000" w:usb3="00000000" w:csb0="80000000" w:csb1="00000000"/>
    <w:embedRegular r:id="rId3" w:fontKey="{21702789-FCB5-473A-B1AD-0ADEC22556F0}"/>
  </w:font>
  <w:font w:name="Arial">
    <w:panose1 w:val="020B0604020202020204"/>
    <w:charset w:val="01"/>
    <w:family w:val="swiss"/>
    <w:pitch w:val="default"/>
    <w:sig w:usb0="E0002EFF" w:usb1="C000785B" w:usb2="00000009" w:usb3="00000000" w:csb0="400001FF" w:csb1="FFFF0000"/>
    <w:embedRegular r:id="rId4" w:fontKey="{6B797C8A-43E3-4F7A-95E1-1876264A7C5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E89884E9-64F3-4311-A284-2B381E97474B}"/>
  </w:font>
  <w:font w:name="Symbol">
    <w:panose1 w:val="05050102010706020507"/>
    <w:charset w:val="02"/>
    <w:family w:val="roman"/>
    <w:pitch w:val="default"/>
    <w:sig w:usb0="00000000" w:usb1="00000000" w:usb2="00000000" w:usb3="00000000" w:csb0="80000000" w:csb1="00000000"/>
    <w:embedRegular r:id="rId6" w:fontKey="{2F1D694D-2EFB-49EC-80CF-796496051735}"/>
  </w:font>
  <w:font w:name="Calibri">
    <w:panose1 w:val="020F0502020204030204"/>
    <w:charset w:val="00"/>
    <w:family w:val="swiss"/>
    <w:pitch w:val="default"/>
    <w:sig w:usb0="E4002EFF" w:usb1="C200247B" w:usb2="00000009" w:usb3="00000000" w:csb0="200001FF" w:csb1="00000000"/>
    <w:embedRegular r:id="rId7" w:fontKey="{EDC08076-6D4A-48A1-9235-1C6D8AEC2B9C}"/>
  </w:font>
  <w:font w:name="方正仿宋_GBK">
    <w:panose1 w:val="03000509000000000000"/>
    <w:charset w:val="86"/>
    <w:family w:val="script"/>
    <w:pitch w:val="default"/>
    <w:sig w:usb0="00000001" w:usb1="080E0000" w:usb2="00000000" w:usb3="00000000" w:csb0="00040000" w:csb1="00000000"/>
    <w:embedRegular r:id="rId8" w:fontKey="{1119D007-EF0D-4710-BE8B-40242AAA5A69}"/>
  </w:font>
  <w:font w:name="Calibri Light">
    <w:panose1 w:val="020F0302020204030204"/>
    <w:charset w:val="00"/>
    <w:family w:val="swiss"/>
    <w:pitch w:val="default"/>
    <w:sig w:usb0="E4002EFF" w:usb1="C200247B" w:usb2="00000009" w:usb3="00000000" w:csb0="200001FF" w:csb1="00000000"/>
    <w:embedRegular r:id="rId9" w:fontKey="{75F9E2D9-2559-4A9E-B1E0-5047B8EBB666}"/>
  </w:font>
  <w:font w:name="Mona Medium">
    <w:altName w:val="Segoe Print"/>
    <w:panose1 w:val="00000000000000000000"/>
    <w:charset w:val="00"/>
    <w:family w:val="auto"/>
    <w:pitch w:val="default"/>
    <w:sig w:usb0="00000000" w:usb1="00000000" w:usb2="00000000" w:usb3="00000000" w:csb0="20000193" w:csb1="00000000"/>
    <w:embedRegular r:id="rId10" w:fontKey="{3B2C4197-B761-4F51-9756-69067F6781A5}"/>
  </w:font>
  <w:font w:name="Segoe Print">
    <w:panose1 w:val="02000600000000000000"/>
    <w:charset w:val="00"/>
    <w:family w:val="auto"/>
    <w:pitch w:val="default"/>
    <w:sig w:usb0="0000028F" w:usb1="00000000" w:usb2="00000000" w:usb3="00000000" w:csb0="2000009F" w:csb1="47010000"/>
    <w:embedRegular r:id="rId11" w:fontKey="{912E8433-20A6-4F43-A664-E21551D72C31}"/>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2" w:fontKey="{E5434E6D-B731-468D-A949-3DF1FD73326F}"/>
  </w:font>
  <w:font w:name="方正小标宋_GBK">
    <w:panose1 w:val="03000509000000000000"/>
    <w:charset w:val="86"/>
    <w:family w:val="script"/>
    <w:pitch w:val="default"/>
    <w:sig w:usb0="00000001" w:usb1="080E0000" w:usb2="00000000" w:usb3="00000000" w:csb0="00040000" w:csb1="00000000"/>
    <w:embedRegular r:id="rId13" w:fontKey="{7D73EBEE-8CBD-47E4-BF6D-377C6BDF1DDA}"/>
  </w:font>
  <w:font w:name="方正黑体_GBK">
    <w:panose1 w:val="03000509000000000000"/>
    <w:charset w:val="86"/>
    <w:family w:val="script"/>
    <w:pitch w:val="default"/>
    <w:sig w:usb0="00000001" w:usb1="080E0000" w:usb2="00000000" w:usb3="00000000" w:csb0="00040000" w:csb1="00000000"/>
    <w:embedRegular r:id="rId14" w:fontKey="{A617F1C8-2E9A-4406-8706-6411E4F500F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8CDAB">
    <w:pPr>
      <w:pStyle w:val="13"/>
      <w:ind w:firstLine="422"/>
      <w:jc w:val="center"/>
      <w:rPr>
        <w:rFonts w:ascii="Times New Roman" w:hAnsi="Times New Roman"/>
        <w:b/>
        <w:sz w:val="21"/>
        <w:szCs w:val="21"/>
      </w:rPr>
    </w:pPr>
  </w:p>
  <w:p w14:paraId="28D6FE5A">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E68BE">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1839F">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b/>
        <w:bCs/>
        <w:sz w:val="21"/>
        <w:szCs w:val="21"/>
      </w:rPr>
    </w:sdtEndPr>
    <w:sdtContent>
      <w:p w14:paraId="32E79268">
        <w:pPr>
          <w:pStyle w:val="13"/>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 xml:space="preserve">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78E86F21">
    <w:pPr>
      <w:pStyle w:val="13"/>
      <w:tabs>
        <w:tab w:val="clear" w:pos="4153"/>
      </w:tabs>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E6F2">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F77B0">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1CD68">
    <w:pPr>
      <w:ind w:left="560"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8B9C0">
    <w:pPr>
      <w:pStyle w:val="14"/>
      <w:pBdr>
        <w:bottom w:val="none" w:color="auto" w:sz="0" w:space="1"/>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FF664"/>
    <w:multiLevelType w:val="singleLevel"/>
    <w:tmpl w:val="824FF664"/>
    <w:lvl w:ilvl="0" w:tentative="0">
      <w:start w:val="2"/>
      <w:numFmt w:val="chineseCounting"/>
      <w:suff w:val="nothing"/>
      <w:lvlText w:val="（%1）"/>
      <w:lvlJc w:val="left"/>
      <w:rPr>
        <w:rFonts w:hint="eastAsia"/>
      </w:rPr>
    </w:lvl>
  </w:abstractNum>
  <w:abstractNum w:abstractNumId="1">
    <w:nsid w:val="8ABDCF9B"/>
    <w:multiLevelType w:val="singleLevel"/>
    <w:tmpl w:val="8ABDCF9B"/>
    <w:lvl w:ilvl="0" w:tentative="0">
      <w:start w:val="1"/>
      <w:numFmt w:val="chineseCounting"/>
      <w:suff w:val="nothing"/>
      <w:lvlText w:val="（%1）"/>
      <w:lvlJc w:val="left"/>
      <w:pPr>
        <w:ind w:left="0" w:firstLine="420"/>
      </w:pPr>
      <w:rPr>
        <w:rFonts w:hint="eastAsia"/>
      </w:rPr>
    </w:lvl>
  </w:abstractNum>
  <w:abstractNum w:abstractNumId="2">
    <w:nsid w:val="92064B62"/>
    <w:multiLevelType w:val="singleLevel"/>
    <w:tmpl w:val="92064B62"/>
    <w:lvl w:ilvl="0" w:tentative="0">
      <w:start w:val="2"/>
      <w:numFmt w:val="chineseCounting"/>
      <w:suff w:val="nothing"/>
      <w:lvlText w:val="%1、"/>
      <w:lvlJc w:val="left"/>
      <w:rPr>
        <w:rFonts w:hint="eastAsia"/>
      </w:rPr>
    </w:lvl>
  </w:abstractNum>
  <w:abstractNum w:abstractNumId="3">
    <w:nsid w:val="DDBE1E0D"/>
    <w:multiLevelType w:val="singleLevel"/>
    <w:tmpl w:val="DDBE1E0D"/>
    <w:lvl w:ilvl="0" w:tentative="0">
      <w:start w:val="1"/>
      <w:numFmt w:val="chineseCounting"/>
      <w:suff w:val="nothing"/>
      <w:lvlText w:val="%1、"/>
      <w:lvlJc w:val="left"/>
      <w:rPr>
        <w:rFonts w:hint="eastAsia"/>
      </w:rPr>
    </w:lvl>
  </w:abstractNum>
  <w:abstractNum w:abstractNumId="4">
    <w:nsid w:val="03170F40"/>
    <w:multiLevelType w:val="singleLevel"/>
    <w:tmpl w:val="03170F40"/>
    <w:lvl w:ilvl="0" w:tentative="0">
      <w:start w:val="1"/>
      <w:numFmt w:val="decimal"/>
      <w:lvlText w:val="%1."/>
      <w:lvlJc w:val="left"/>
      <w:pPr>
        <w:tabs>
          <w:tab w:val="left" w:pos="312"/>
        </w:tabs>
      </w:pPr>
    </w:lvl>
  </w:abstractNum>
  <w:abstractNum w:abstractNumId="5">
    <w:nsid w:val="468DA384"/>
    <w:multiLevelType w:val="singleLevel"/>
    <w:tmpl w:val="468DA384"/>
    <w:lvl w:ilvl="0" w:tentative="0">
      <w:start w:val="2"/>
      <w:numFmt w:val="decimal"/>
      <w:lvlText w:val="%1."/>
      <w:lvlJc w:val="left"/>
      <w:pPr>
        <w:tabs>
          <w:tab w:val="left" w:pos="312"/>
        </w:tabs>
      </w:p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5FED0BB"/>
    <w:rsid w:val="0002086E"/>
    <w:rsid w:val="0003264D"/>
    <w:rsid w:val="00076B81"/>
    <w:rsid w:val="0010205C"/>
    <w:rsid w:val="00126F8D"/>
    <w:rsid w:val="001407B9"/>
    <w:rsid w:val="00292BD9"/>
    <w:rsid w:val="002D4200"/>
    <w:rsid w:val="002F15D3"/>
    <w:rsid w:val="002F559F"/>
    <w:rsid w:val="002F5F3A"/>
    <w:rsid w:val="00352115"/>
    <w:rsid w:val="00365E53"/>
    <w:rsid w:val="003C27FD"/>
    <w:rsid w:val="003C65B4"/>
    <w:rsid w:val="003D3CEE"/>
    <w:rsid w:val="003E321A"/>
    <w:rsid w:val="003F20D4"/>
    <w:rsid w:val="00405ECE"/>
    <w:rsid w:val="0042738F"/>
    <w:rsid w:val="004304C3"/>
    <w:rsid w:val="00441D45"/>
    <w:rsid w:val="004733B7"/>
    <w:rsid w:val="004B0429"/>
    <w:rsid w:val="004E2DA2"/>
    <w:rsid w:val="004F477A"/>
    <w:rsid w:val="004F7844"/>
    <w:rsid w:val="005227C9"/>
    <w:rsid w:val="0053514C"/>
    <w:rsid w:val="00572017"/>
    <w:rsid w:val="00573468"/>
    <w:rsid w:val="00581325"/>
    <w:rsid w:val="00582BC4"/>
    <w:rsid w:val="00595555"/>
    <w:rsid w:val="005B5D63"/>
    <w:rsid w:val="00636453"/>
    <w:rsid w:val="00642306"/>
    <w:rsid w:val="006613C5"/>
    <w:rsid w:val="006678A5"/>
    <w:rsid w:val="006A7F6F"/>
    <w:rsid w:val="006D4692"/>
    <w:rsid w:val="006E2129"/>
    <w:rsid w:val="006F2001"/>
    <w:rsid w:val="00700C4F"/>
    <w:rsid w:val="0074638A"/>
    <w:rsid w:val="007A74E9"/>
    <w:rsid w:val="00837AB6"/>
    <w:rsid w:val="00850157"/>
    <w:rsid w:val="00856528"/>
    <w:rsid w:val="008A6EC7"/>
    <w:rsid w:val="008B5116"/>
    <w:rsid w:val="00952B3B"/>
    <w:rsid w:val="00962CF1"/>
    <w:rsid w:val="0099751E"/>
    <w:rsid w:val="009F679C"/>
    <w:rsid w:val="00A163B2"/>
    <w:rsid w:val="00A3216A"/>
    <w:rsid w:val="00A5664F"/>
    <w:rsid w:val="00A6316E"/>
    <w:rsid w:val="00A640C0"/>
    <w:rsid w:val="00AA7076"/>
    <w:rsid w:val="00AC6F86"/>
    <w:rsid w:val="00AD3737"/>
    <w:rsid w:val="00B269F2"/>
    <w:rsid w:val="00B40BE9"/>
    <w:rsid w:val="00BB2BE4"/>
    <w:rsid w:val="00BC08F4"/>
    <w:rsid w:val="00BC432B"/>
    <w:rsid w:val="00BE71A6"/>
    <w:rsid w:val="00BF5CBF"/>
    <w:rsid w:val="00C220C6"/>
    <w:rsid w:val="00C67113"/>
    <w:rsid w:val="00C968F7"/>
    <w:rsid w:val="00CC4B49"/>
    <w:rsid w:val="00CE1F9B"/>
    <w:rsid w:val="00D011A6"/>
    <w:rsid w:val="00D067CF"/>
    <w:rsid w:val="00D8322B"/>
    <w:rsid w:val="00D846A4"/>
    <w:rsid w:val="00D84877"/>
    <w:rsid w:val="00D84FAD"/>
    <w:rsid w:val="00D92D05"/>
    <w:rsid w:val="00DE3434"/>
    <w:rsid w:val="00E16E63"/>
    <w:rsid w:val="00E22D2A"/>
    <w:rsid w:val="00E70749"/>
    <w:rsid w:val="00E863A1"/>
    <w:rsid w:val="00E912DC"/>
    <w:rsid w:val="00E912DD"/>
    <w:rsid w:val="00EB5F1A"/>
    <w:rsid w:val="00ED21C9"/>
    <w:rsid w:val="00EE14CA"/>
    <w:rsid w:val="00F07261"/>
    <w:rsid w:val="00F30843"/>
    <w:rsid w:val="00F33CD2"/>
    <w:rsid w:val="00F61157"/>
    <w:rsid w:val="00FA1641"/>
    <w:rsid w:val="00FB1B5E"/>
    <w:rsid w:val="00FE172C"/>
    <w:rsid w:val="00FE72D6"/>
    <w:rsid w:val="011F39E4"/>
    <w:rsid w:val="013B4445"/>
    <w:rsid w:val="018C1916"/>
    <w:rsid w:val="02B82429"/>
    <w:rsid w:val="0314AE73"/>
    <w:rsid w:val="031B61E7"/>
    <w:rsid w:val="0378633B"/>
    <w:rsid w:val="03A05556"/>
    <w:rsid w:val="04FC088E"/>
    <w:rsid w:val="052B589C"/>
    <w:rsid w:val="053D2093"/>
    <w:rsid w:val="062067FE"/>
    <w:rsid w:val="066E23A7"/>
    <w:rsid w:val="06835628"/>
    <w:rsid w:val="069559F2"/>
    <w:rsid w:val="06AB089E"/>
    <w:rsid w:val="07BA6D83"/>
    <w:rsid w:val="07E33ABA"/>
    <w:rsid w:val="08F05A13"/>
    <w:rsid w:val="09033ED8"/>
    <w:rsid w:val="091B52F7"/>
    <w:rsid w:val="09554D92"/>
    <w:rsid w:val="09791E74"/>
    <w:rsid w:val="098F1CD1"/>
    <w:rsid w:val="0A3671C9"/>
    <w:rsid w:val="0BAC05B3"/>
    <w:rsid w:val="0BEF7007"/>
    <w:rsid w:val="0C390FAC"/>
    <w:rsid w:val="0CAB21EE"/>
    <w:rsid w:val="0CBA28DF"/>
    <w:rsid w:val="0E7F768D"/>
    <w:rsid w:val="0EB033A3"/>
    <w:rsid w:val="0F0659CC"/>
    <w:rsid w:val="0F3535BB"/>
    <w:rsid w:val="0FBB640B"/>
    <w:rsid w:val="0FDC7F9F"/>
    <w:rsid w:val="10130E26"/>
    <w:rsid w:val="102747AC"/>
    <w:rsid w:val="11742C45"/>
    <w:rsid w:val="12E04375"/>
    <w:rsid w:val="139433C6"/>
    <w:rsid w:val="13DF7FD8"/>
    <w:rsid w:val="13E15C2A"/>
    <w:rsid w:val="14366350"/>
    <w:rsid w:val="14613830"/>
    <w:rsid w:val="14DD024B"/>
    <w:rsid w:val="15794360"/>
    <w:rsid w:val="161812A0"/>
    <w:rsid w:val="17941BA3"/>
    <w:rsid w:val="17A93780"/>
    <w:rsid w:val="186152BF"/>
    <w:rsid w:val="18845E2F"/>
    <w:rsid w:val="189F7B1F"/>
    <w:rsid w:val="19915122"/>
    <w:rsid w:val="19AA2D7C"/>
    <w:rsid w:val="1A2258F9"/>
    <w:rsid w:val="1B670A25"/>
    <w:rsid w:val="1BDB2B53"/>
    <w:rsid w:val="1D6C18C0"/>
    <w:rsid w:val="1DE17414"/>
    <w:rsid w:val="1ED7093D"/>
    <w:rsid w:val="1F4B4494"/>
    <w:rsid w:val="1FBB21C0"/>
    <w:rsid w:val="1FFF2AD5"/>
    <w:rsid w:val="200B5FC6"/>
    <w:rsid w:val="204A5285"/>
    <w:rsid w:val="20844AD5"/>
    <w:rsid w:val="21422BB5"/>
    <w:rsid w:val="219746CE"/>
    <w:rsid w:val="22161C69"/>
    <w:rsid w:val="22350AE4"/>
    <w:rsid w:val="226C697A"/>
    <w:rsid w:val="239C52BE"/>
    <w:rsid w:val="23BA54E1"/>
    <w:rsid w:val="23EC39D7"/>
    <w:rsid w:val="249D42E2"/>
    <w:rsid w:val="26550282"/>
    <w:rsid w:val="265B4A72"/>
    <w:rsid w:val="286759E7"/>
    <w:rsid w:val="28C86E51"/>
    <w:rsid w:val="28DF46E1"/>
    <w:rsid w:val="294B635F"/>
    <w:rsid w:val="295D20E0"/>
    <w:rsid w:val="299F4469"/>
    <w:rsid w:val="2B4A7694"/>
    <w:rsid w:val="2CB03873"/>
    <w:rsid w:val="2D067F88"/>
    <w:rsid w:val="2D5B7F98"/>
    <w:rsid w:val="2DB40530"/>
    <w:rsid w:val="2DD7781E"/>
    <w:rsid w:val="2DF20B31"/>
    <w:rsid w:val="2E156399"/>
    <w:rsid w:val="2F5F248E"/>
    <w:rsid w:val="2FA02C09"/>
    <w:rsid w:val="2FDB5C46"/>
    <w:rsid w:val="31F75DB5"/>
    <w:rsid w:val="32E633DD"/>
    <w:rsid w:val="33FFFCBA"/>
    <w:rsid w:val="34757DF9"/>
    <w:rsid w:val="34BB2BB2"/>
    <w:rsid w:val="34CF1F34"/>
    <w:rsid w:val="34DD524A"/>
    <w:rsid w:val="35154ED0"/>
    <w:rsid w:val="35831E78"/>
    <w:rsid w:val="367342D8"/>
    <w:rsid w:val="368C170D"/>
    <w:rsid w:val="3753251F"/>
    <w:rsid w:val="376219C6"/>
    <w:rsid w:val="38CC7C0A"/>
    <w:rsid w:val="39241B86"/>
    <w:rsid w:val="39382F3B"/>
    <w:rsid w:val="395E29FD"/>
    <w:rsid w:val="39906A3C"/>
    <w:rsid w:val="3B6B3A9C"/>
    <w:rsid w:val="3BDDCCB3"/>
    <w:rsid w:val="3BFCE255"/>
    <w:rsid w:val="3C3629CF"/>
    <w:rsid w:val="3CBF8B15"/>
    <w:rsid w:val="3D0251C0"/>
    <w:rsid w:val="3D032475"/>
    <w:rsid w:val="3DE41FEB"/>
    <w:rsid w:val="3DEAB8DF"/>
    <w:rsid w:val="3E341A7C"/>
    <w:rsid w:val="3E3C5B94"/>
    <w:rsid w:val="3E4F1A57"/>
    <w:rsid w:val="3E6760E9"/>
    <w:rsid w:val="3F9C1BC0"/>
    <w:rsid w:val="3FB7C1B8"/>
    <w:rsid w:val="407F76A2"/>
    <w:rsid w:val="4175033C"/>
    <w:rsid w:val="424D5897"/>
    <w:rsid w:val="42DA0A0B"/>
    <w:rsid w:val="43346FA1"/>
    <w:rsid w:val="436314FD"/>
    <w:rsid w:val="43C90AFF"/>
    <w:rsid w:val="448E5285"/>
    <w:rsid w:val="44F56FE5"/>
    <w:rsid w:val="45BC6CA2"/>
    <w:rsid w:val="45EC57D9"/>
    <w:rsid w:val="470E0586"/>
    <w:rsid w:val="476B69E3"/>
    <w:rsid w:val="47770EF5"/>
    <w:rsid w:val="48AE321A"/>
    <w:rsid w:val="4A1452FF"/>
    <w:rsid w:val="4ADE6DB0"/>
    <w:rsid w:val="4AE165F3"/>
    <w:rsid w:val="4AEB6CEE"/>
    <w:rsid w:val="4B196031"/>
    <w:rsid w:val="4C7B030A"/>
    <w:rsid w:val="4C917B7B"/>
    <w:rsid w:val="4D1D28A8"/>
    <w:rsid w:val="4DBF0CB3"/>
    <w:rsid w:val="4DF7156F"/>
    <w:rsid w:val="4FB90CA0"/>
    <w:rsid w:val="516D10F0"/>
    <w:rsid w:val="51B9766F"/>
    <w:rsid w:val="52880638"/>
    <w:rsid w:val="53B263AB"/>
    <w:rsid w:val="53EA0E7E"/>
    <w:rsid w:val="54BB7CA0"/>
    <w:rsid w:val="54DE09F7"/>
    <w:rsid w:val="55937431"/>
    <w:rsid w:val="567D4907"/>
    <w:rsid w:val="582B5BF5"/>
    <w:rsid w:val="58FA7DB6"/>
    <w:rsid w:val="59FFA9DD"/>
    <w:rsid w:val="5A186745"/>
    <w:rsid w:val="5A717182"/>
    <w:rsid w:val="5A76335E"/>
    <w:rsid w:val="5A7E502C"/>
    <w:rsid w:val="5AFB4E85"/>
    <w:rsid w:val="5B1969AC"/>
    <w:rsid w:val="5B473F64"/>
    <w:rsid w:val="5C7A95D3"/>
    <w:rsid w:val="5DA7CEA2"/>
    <w:rsid w:val="5F33426A"/>
    <w:rsid w:val="5F56F802"/>
    <w:rsid w:val="5F6EF638"/>
    <w:rsid w:val="5F8670DE"/>
    <w:rsid w:val="5FAE3C1E"/>
    <w:rsid w:val="5FE6022E"/>
    <w:rsid w:val="6025462C"/>
    <w:rsid w:val="608061DA"/>
    <w:rsid w:val="61355E2F"/>
    <w:rsid w:val="6184044A"/>
    <w:rsid w:val="63360EF7"/>
    <w:rsid w:val="633D546F"/>
    <w:rsid w:val="63DD2563"/>
    <w:rsid w:val="63F71816"/>
    <w:rsid w:val="648A0240"/>
    <w:rsid w:val="64A75ABD"/>
    <w:rsid w:val="64BD572B"/>
    <w:rsid w:val="64E701A1"/>
    <w:rsid w:val="64E97186"/>
    <w:rsid w:val="65D53BF6"/>
    <w:rsid w:val="66543467"/>
    <w:rsid w:val="6667FBCD"/>
    <w:rsid w:val="67A11CC0"/>
    <w:rsid w:val="696371C7"/>
    <w:rsid w:val="69F11721"/>
    <w:rsid w:val="6BAA2A12"/>
    <w:rsid w:val="6BE88D43"/>
    <w:rsid w:val="6BFB0013"/>
    <w:rsid w:val="6C3F58C3"/>
    <w:rsid w:val="6CD258F7"/>
    <w:rsid w:val="6D4A0A51"/>
    <w:rsid w:val="6E2D2550"/>
    <w:rsid w:val="6E5512C0"/>
    <w:rsid w:val="6E7DEFA4"/>
    <w:rsid w:val="6E8C5638"/>
    <w:rsid w:val="6EFFF5B8"/>
    <w:rsid w:val="6F834BB1"/>
    <w:rsid w:val="6FDA7AFC"/>
    <w:rsid w:val="70486CB3"/>
    <w:rsid w:val="714A25FE"/>
    <w:rsid w:val="720D56A0"/>
    <w:rsid w:val="72E13957"/>
    <w:rsid w:val="72E7737D"/>
    <w:rsid w:val="734C3A8D"/>
    <w:rsid w:val="73D43914"/>
    <w:rsid w:val="741C383E"/>
    <w:rsid w:val="762C432F"/>
    <w:rsid w:val="76447C6A"/>
    <w:rsid w:val="773CFBAE"/>
    <w:rsid w:val="77D15AFC"/>
    <w:rsid w:val="77F94EA6"/>
    <w:rsid w:val="77FF7213"/>
    <w:rsid w:val="78B72FC5"/>
    <w:rsid w:val="79334384"/>
    <w:rsid w:val="7A7C6425"/>
    <w:rsid w:val="7A7F4DEE"/>
    <w:rsid w:val="7B955AA9"/>
    <w:rsid w:val="7B975929"/>
    <w:rsid w:val="7BD6BF7F"/>
    <w:rsid w:val="7BDFA59B"/>
    <w:rsid w:val="7C807197"/>
    <w:rsid w:val="7CFF2D64"/>
    <w:rsid w:val="7DFE0E69"/>
    <w:rsid w:val="7E644A30"/>
    <w:rsid w:val="7E713F67"/>
    <w:rsid w:val="7E80763A"/>
    <w:rsid w:val="7EBF6243"/>
    <w:rsid w:val="7EFF387C"/>
    <w:rsid w:val="7F465591"/>
    <w:rsid w:val="7F592015"/>
    <w:rsid w:val="7F6B1151"/>
    <w:rsid w:val="7F6FF723"/>
    <w:rsid w:val="7FD7F919"/>
    <w:rsid w:val="7FFB0C37"/>
    <w:rsid w:val="7FFD0648"/>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99"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200" w:firstLineChars="200"/>
      <w:jc w:val="both"/>
    </w:pPr>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3">
    <w:name w:val="heading 2"/>
    <w:basedOn w:val="1"/>
    <w:next w:val="1"/>
    <w:unhideWhenUsed/>
    <w:qFormat/>
    <w:uiPriority w:val="0"/>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link w:val="26"/>
    <w:semiHidden/>
    <w:unhideWhenUsed/>
    <w:qFormat/>
    <w:uiPriority w:val="0"/>
    <w:pPr>
      <w:keepNext/>
      <w:keepLines/>
      <w:spacing w:before="50" w:beforeLines="50" w:line="360" w:lineRule="auto"/>
      <w:ind w:firstLine="560"/>
      <w:outlineLvl w:val="2"/>
    </w:pPr>
    <w:rPr>
      <w:rFonts w:ascii="Times New Roman" w:hAnsi="Times New Roman" w:eastAsia="Mona Medium"/>
      <w:bCs/>
      <w:sz w:val="24"/>
      <w:szCs w:val="32"/>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b/>
      <w:bCs/>
      <w:kern w:val="0"/>
      <w:sz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uto"/>
      <w:ind w:firstLine="420"/>
    </w:pPr>
    <w:rPr>
      <w:sz w:val="24"/>
    </w:rPr>
  </w:style>
  <w:style w:type="paragraph" w:styleId="7">
    <w:name w:val="annotation text"/>
    <w:basedOn w:val="1"/>
    <w:link w:val="30"/>
    <w:unhideWhenUsed/>
    <w:qFormat/>
    <w:uiPriority w:val="99"/>
    <w:pPr>
      <w:jc w:val="left"/>
    </w:pPr>
  </w:style>
  <w:style w:type="paragraph" w:styleId="8">
    <w:name w:val="Body Text"/>
    <w:basedOn w:val="1"/>
    <w:next w:val="9"/>
    <w:unhideWhenUsed/>
    <w:qFormat/>
    <w:uiPriority w:val="99"/>
    <w:pPr>
      <w:spacing w:after="120"/>
    </w:pPr>
  </w:style>
  <w:style w:type="paragraph" w:styleId="9">
    <w:name w:val="Body Text First Indent"/>
    <w:basedOn w:val="8"/>
    <w:semiHidden/>
    <w:unhideWhenUsed/>
    <w:qFormat/>
    <w:uiPriority w:val="99"/>
    <w:pPr>
      <w:ind w:firstLine="420" w:firstLineChars="100"/>
    </w:pPr>
  </w:style>
  <w:style w:type="paragraph" w:styleId="10">
    <w:name w:val="Body Text Indent"/>
    <w:basedOn w:val="1"/>
    <w:unhideWhenUsed/>
    <w:qFormat/>
    <w:uiPriority w:val="99"/>
    <w:pPr>
      <w:spacing w:after="120"/>
      <w:ind w:left="420" w:leftChars="200"/>
    </w:pPr>
    <w:rPr>
      <w:rFonts w:asciiTheme="minorHAnsi" w:hAnsiTheme="minorHAnsi" w:eastAsiaTheme="minorEastAsia" w:cstheme="minorBidi"/>
    </w:rPr>
  </w:style>
  <w:style w:type="paragraph" w:styleId="11">
    <w:name w:val="Plain Text"/>
    <w:basedOn w:val="1"/>
    <w:qFormat/>
    <w:uiPriority w:val="0"/>
    <w:pPr>
      <w:adjustRightInd w:val="0"/>
      <w:snapToGrid w:val="0"/>
      <w:spacing w:line="360" w:lineRule="auto"/>
    </w:pPr>
    <w:rPr>
      <w:rFonts w:ascii="宋体" w:hAnsi="Courier New" w:eastAsiaTheme="minorEastAsia" w:cstheme="minorBidi"/>
      <w:szCs w:val="22"/>
    </w:rPr>
  </w:style>
  <w:style w:type="paragraph" w:styleId="12">
    <w:name w:val="Date"/>
    <w:basedOn w:val="1"/>
    <w:next w:val="1"/>
    <w:qFormat/>
    <w:uiPriority w:val="99"/>
    <w:pPr>
      <w:ind w:left="100" w:leftChars="2500"/>
    </w:pPr>
    <w:rPr>
      <w:rFonts w:asciiTheme="minorHAnsi" w:hAnsiTheme="minorHAnsi" w:eastAsiaTheme="minorEastAsia" w:cstheme="minorBidi"/>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spacing w:line="360" w:lineRule="auto"/>
      <w:ind w:firstLine="880"/>
    </w:pPr>
    <w:rPr>
      <w:rFonts w:ascii="Times New Roman" w:hAnsi="Times New Roman" w:eastAsia="宋体"/>
      <w:sz w:val="24"/>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annotation subject"/>
    <w:basedOn w:val="7"/>
    <w:next w:val="7"/>
    <w:link w:val="31"/>
    <w:qFormat/>
    <w:uiPriority w:val="0"/>
    <w:rPr>
      <w:b/>
      <w:bCs/>
    </w:rPr>
  </w:style>
  <w:style w:type="paragraph" w:styleId="18">
    <w:name w:val="Body Text First Indent 2"/>
    <w:basedOn w:val="10"/>
    <w:unhideWhenUsed/>
    <w:qFormat/>
    <w:uiPriority w:val="99"/>
    <w:pPr>
      <w:spacing w:line="240" w:lineRule="auto"/>
      <w:ind w:firstLine="420"/>
    </w:pPr>
    <w:rPr>
      <w:rFonts w:ascii="Times New Roman" w:hAnsi="Times New Roman" w:eastAsia="宋体"/>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unhideWhenUsed/>
    <w:qFormat/>
    <w:uiPriority w:val="99"/>
    <w:rPr>
      <w:color w:val="0000FF"/>
      <w:u w:val="single"/>
    </w:rPr>
  </w:style>
  <w:style w:type="character" w:styleId="24">
    <w:name w:val="annotation reference"/>
    <w:basedOn w:val="21"/>
    <w:qFormat/>
    <w:uiPriority w:val="0"/>
    <w:rPr>
      <w:sz w:val="21"/>
      <w:szCs w:val="21"/>
    </w:rPr>
  </w:style>
  <w:style w:type="paragraph" w:customStyle="1" w:styleId="25">
    <w:name w:val="标书正文1"/>
    <w:basedOn w:val="1"/>
    <w:qFormat/>
    <w:uiPriority w:val="0"/>
    <w:pPr>
      <w:spacing w:line="520" w:lineRule="exact"/>
      <w:ind w:firstLine="640"/>
    </w:pPr>
    <w:rPr>
      <w:rFonts w:ascii="Times New Roman" w:hAnsi="Times New Roman" w:eastAsia="宋体"/>
    </w:rPr>
  </w:style>
  <w:style w:type="character" w:customStyle="1" w:styleId="26">
    <w:name w:val="标题 3 字符"/>
    <w:link w:val="4"/>
    <w:semiHidden/>
    <w:qFormat/>
    <w:uiPriority w:val="9"/>
    <w:rPr>
      <w:rFonts w:ascii="Times New Roman" w:hAnsi="Times New Roman" w:eastAsia="Mona Medium" w:cs="Times New Roman"/>
      <w:bCs/>
      <w:kern w:val="2"/>
      <w:sz w:val="24"/>
      <w:szCs w:val="32"/>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8">
    <w:name w:val="列出段落1"/>
    <w:basedOn w:val="1"/>
    <w:qFormat/>
    <w:uiPriority w:val="34"/>
    <w:pPr>
      <w:spacing w:line="276" w:lineRule="auto"/>
      <w:ind w:firstLine="420"/>
    </w:pPr>
    <w:rPr>
      <w:rFonts w:ascii="Times New Roman" w:hAnsi="Times New Roman" w:eastAsia="宋体"/>
      <w:color w:val="auto"/>
      <w:sz w:val="21"/>
    </w:rPr>
  </w:style>
  <w:style w:type="paragraph" w:customStyle="1" w:styleId="29">
    <w:name w:val="表格内字体"/>
    <w:basedOn w:val="1"/>
    <w:autoRedefine/>
    <w:qFormat/>
    <w:uiPriority w:val="0"/>
    <w:pPr>
      <w:spacing w:line="240" w:lineRule="auto"/>
      <w:ind w:firstLine="0" w:firstLineChars="0"/>
      <w:jc w:val="center"/>
    </w:pPr>
    <w:rPr>
      <w:rFonts w:hint="eastAsia"/>
      <w:sz w:val="21"/>
    </w:rPr>
  </w:style>
  <w:style w:type="character" w:customStyle="1" w:styleId="30">
    <w:name w:val="批注文字 字符"/>
    <w:basedOn w:val="21"/>
    <w:link w:val="7"/>
    <w:qFormat/>
    <w:uiPriority w:val="99"/>
    <w:rPr>
      <w:rFonts w:ascii="Calibri" w:hAnsi="Calibri" w:eastAsia="方正仿宋_GBK"/>
      <w:color w:val="000000" w:themeColor="text1"/>
      <w:kern w:val="2"/>
      <w:sz w:val="28"/>
      <w:szCs w:val="24"/>
      <w14:textFill>
        <w14:solidFill>
          <w14:schemeClr w14:val="tx1"/>
        </w14:solidFill>
      </w14:textFill>
    </w:rPr>
  </w:style>
  <w:style w:type="character" w:customStyle="1" w:styleId="31">
    <w:name w:val="批注主题 字符"/>
    <w:basedOn w:val="30"/>
    <w:link w:val="17"/>
    <w:qFormat/>
    <w:uiPriority w:val="0"/>
    <w:rPr>
      <w:rFonts w:ascii="Calibri" w:hAnsi="Calibri" w:eastAsia="方正仿宋_GBK"/>
      <w:b/>
      <w:bCs/>
      <w:color w:val="000000" w:themeColor="text1"/>
      <w:kern w:val="2"/>
      <w:sz w:val="28"/>
      <w:szCs w:val="24"/>
      <w14:textFill>
        <w14:solidFill>
          <w14:schemeClr w14:val="tx1"/>
        </w14:solidFill>
      </w14:textFill>
    </w:rPr>
  </w:style>
  <w:style w:type="paragraph" w:styleId="32">
    <w:name w:val="List Paragraph"/>
    <w:basedOn w:val="1"/>
    <w:qFormat/>
    <w:uiPriority w:val="99"/>
    <w:pPr>
      <w:ind w:firstLine="420"/>
    </w:pPr>
  </w:style>
  <w:style w:type="paragraph" w:customStyle="1" w:styleId="33">
    <w:name w:val="修订1"/>
    <w:hidden/>
    <w:unhideWhenUsed/>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customStyle="1" w:styleId="34">
    <w:name w:val="图例"/>
    <w:basedOn w:val="1"/>
    <w:qFormat/>
    <w:uiPriority w:val="0"/>
    <w:pPr>
      <w:spacing w:before="120" w:after="120" w:line="360" w:lineRule="auto"/>
      <w:ind w:firstLine="0" w:firstLineChars="0"/>
      <w:jc w:val="center"/>
    </w:pPr>
    <w:rPr>
      <w:rFonts w:ascii="Times New Roman" w:hAnsi="Times New Roman" w:eastAsia="仿宋_GB2312"/>
      <w:b/>
      <w:color w:val="auto"/>
      <w:sz w:val="24"/>
      <w:szCs w:val="20"/>
    </w:rPr>
  </w:style>
  <w:style w:type="paragraph" w:customStyle="1" w:styleId="35">
    <w:name w:val="修订2"/>
    <w:hidden/>
    <w:semiHidden/>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contractReview xmlns="http://schemas.wps.cn/vas-ai-hub/contract-review">
  <reviewItems>
    <reviewItem>
      <errorID>b173d07f-a449-41b7-ac07-a8165a771483</errorID>
      <errorWord>复印件加盖</errorWord>
      <group>L1_Word</group>
      <groupName>字词问题</groupName>
      <ability>L2_Typo</ability>
      <abilityName>字词错误</abilityName>
      <candidateList>
        <item>复印件并加盖</item>
      </candidateList>
      <explain/>
      <paraID>2CA4532B</paraID>
      <start>64</start>
      <end>69</end>
      <status>unmodified</status>
      <modifiedWord/>
      <trackRevisions>false</trackRevisions>
    </reviewItem>
    <reviewItem>
      <errorID>9faf6d78-4f58-40cd-b2ae-0b3d0130da8c</errorID>
      <errorWord>的的</errorWord>
      <group>L1_Word</group>
      <groupName>字词问题</groupName>
      <ability>L2_Typo</ability>
      <abilityName>字词错误</abilityName>
      <candidateList>
        <item>的</item>
      </candidateList>
      <explain/>
      <paraID>5DD7615E</paraID>
      <start>51</start>
      <end>53</end>
      <status>unmodified</status>
      <modifiedWord/>
      <trackRevisions>false</trackRevisions>
    </reviewItem>
    <reviewItem>
      <errorID>2f741c36-233a-4a51-9cbf-d0250c80917e</errorID>
      <errorWord>,</errorWord>
      <group>L1_Format</group>
      <groupName>格式问题</groupName>
      <ability>L2_HalfPunc_CN</ability>
      <abilityName>全半角问题</abilityName>
      <candidateList>
        <item>，</item>
      </candidateList>
      <explain>文本全半角错误。</explain>
      <paraID>5DD7615E</paraID>
      <start>125</start>
      <end>127</end>
      <status>modified</status>
      <modifiedWord>，</modifiedWord>
      <trackRevisions>true</trackRevisions>
    </reviewItem>
    <reviewItem>
      <errorID>f4fa4800-a00d-44b5-9712-5ae372fb279d</errorID>
      <errorWord>:</errorWord>
      <group>L1_Format</group>
      <groupName>格式问题</groupName>
      <ability>L2_HalfPunc_CN</ability>
      <abilityName>全半角问题</abilityName>
      <candidateList>
        <item>：</item>
      </candidateList>
      <explain>文本全半角错误。</explain>
      <paraID>26B50E22</paraID>
      <start>19</start>
      <end>21</end>
      <status>modified</status>
      <modifiedWord>：</modifiedWord>
      <trackRevisions>true</trackRevisions>
    </reviewItem>
    <reviewItem>
      <errorID>575daebf-14a8-434c-a484-a5fec316cf70</errorID>
      <errorWord>及</errorWord>
      <group>L1_Word</group>
      <groupName>字词问题</groupName>
      <ability>L2_Typo</ability>
      <abilityName>字词错误</abilityName>
      <candidateList>
        <item>及其</item>
      </candidateList>
      <explain/>
      <paraID>6EEB0BD5</paraID>
      <start>14</start>
      <end>15</end>
      <status>unmodified</status>
      <modifiedWord/>
      <trackRevisions>false</trackRevisions>
    </reviewItem>
    <reviewItem>
      <errorID>3721986c-ceb5-4e96-ae18-f2d8a08c7ed7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120DBF5E</paraID>
      <start>4</start>
      <end>5</end>
      <status>unmodified</status>
      <modifiedWord/>
      <trackRevisions>false</trackRevisions>
    </reviewItem>
    <reviewItem>
      <errorID>04249bbd-a6ea-4687-924b-786a42e61b17</errorID>
      <errorWord>复印件加盖</errorWord>
      <group>L1_Word</group>
      <groupName>字词问题</groupName>
      <ability>L2_Typo</ability>
      <abilityName>字词错误</abilityName>
      <candidateList>
        <item>复印件并加盖</item>
      </candidateList>
      <explain/>
      <paraID>4EB8B1B0</paraID>
      <start>10</start>
      <end>15</end>
      <status>unmodified</status>
      <modifiedWord/>
      <trackRevisions>false</trackRevisions>
    </reviewItem>
    <reviewItem>
      <errorID>12751ade-0118-4caf-8a31-8b2569f6658c</errorID>
      <errorWord>-</errorWord>
      <group>L1_Format</group>
      <groupName>格式问题</groupName>
      <ability>L2_HalfPunc_CN</ability>
      <abilityName>全半角问题</abilityName>
      <candidateList>
        <item>－</item>
      </candidateList>
      <explain>文本全半角错误。</explain>
      <paraID>22CDC0A1</paraID>
      <start>50</start>
      <end>51</end>
      <status>unmodified</status>
      <modifiedWord/>
      <trackRevisions>false</trackRevisions>
    </reviewItem>
    <reviewItem>
      <errorID>524d4c63-0741-4a30-a378-9100ed19cb11</errorID>
      <errorWord>复印件加盖</errorWord>
      <group>L1_Word</group>
      <groupName>字词问题</groupName>
      <ability>L2_Typo</ability>
      <abilityName>字词错误</abilityName>
      <candidateList>
        <item>复印件并加盖</item>
      </candidateList>
      <explain/>
      <paraID>31795A45</paraID>
      <start>11</start>
      <end>16</end>
      <status>unmodified</status>
      <modifiedWord/>
      <trackRevisions>false</trackRevisions>
    </reviewItem>
    <reviewItem>
      <errorID>00d81f09-9694-4c42-9555-d1eedbc76b2b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1838C2BB</paraID>
      <start>165</start>
      <end>170</end>
      <status>modified</status>
      <modifiedWord>》《</modifiedWord>
      <trackRevisions>true</trackRevisions>
    </reviewItem>
    <reviewItem>
      <errorID>3a6f3082-d72d-4b48-b75b-bca055973e4e</errorID>
      <errorWord>,</errorWord>
      <group>L1_Format</group>
      <groupName>格式问题</groupName>
      <ability>L2_HalfPunc_CN</ability>
      <abilityName>全半角问题</abilityName>
      <candidateList>
        <item>，</item>
      </candidateList>
      <explain>文本全半角错误。</explain>
      <paraID>32485848</paraID>
      <start>13</start>
      <end>15</end>
      <status>modified</status>
      <modifiedWord>，</modifiedWord>
      <trackRevisions>true</trackRevisions>
    </reviewItem>
    <reviewItem>
      <errorID>2db4552f-54f8-4709-99c5-ccca5dedabae</errorID>
      <errorWord>,</errorWord>
      <group>L1_Format</group>
      <groupName>格式问题</groupName>
      <ability>L2_HalfPunc_CN</ability>
      <abilityName>全半角问题</abilityName>
      <candidateList>
        <item>，</item>
      </candidateList>
      <explain>文本全半角错误。</explain>
      <paraID>2CB4B7D6</paraID>
      <start>12</start>
      <end>14</end>
      <status>modified</status>
      <modifiedWord>，</modifiedWord>
      <trackRevisions>true</trackRevisions>
    </reviewItem>
    <reviewItem>
      <errorID>1d7177cb-7105-4af7-84d7-552b59b3598c</errorID>
      <errorWord>,</errorWord>
      <group>L1_Format</group>
      <groupName>格式问题</groupName>
      <ability>L2_HalfPunc_CN</ability>
      <abilityName>全半角问题</abilityName>
      <candidateList>
        <item>，</item>
      </candidateList>
      <explain>文本全半角错误。</explain>
      <paraID>2CB4B7D6</paraID>
      <start>119</start>
      <end>121</end>
      <status>modified</status>
      <modifiedWord>，</modifiedWord>
      <trackRevisions>true</trackRevisions>
    </reviewItem>
    <reviewItem>
      <errorID>fa6f3856-14bd-414b-a71f-d5212064391d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75483F73</paraID>
      <start>49</start>
      <end>50</end>
      <status>unmodified</status>
      <modifiedWord/>
      <trackRevisions>false</trackRevisions>
    </reviewItem>
    <reviewItem>
      <errorID>270493bc-dfaf-4b5f-a46a-8c942c42e56b</errorID>
      <errorWord>牟取</errorWord>
      <group>L1_Word</group>
      <groupName>字词问题</groupName>
      <ability>L2_Typo</ability>
      <abilityName>字词错误</abilityName>
      <candidateList>
        <item>谋取</item>
      </candidateList>
      <explain>存在发音相同字词的误用。</explain>
      <paraID>499E91F0</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956F4870-1C89-4B88-9D1E-E66792FEEABA}">
  <ds:schemaRefs/>
</ds:datastoreItem>
</file>

<file path=customXml/itemProps2.xml><?xml version="1.0" encoding="utf-8"?>
<ds:datastoreItem xmlns:ds="http://schemas.openxmlformats.org/officeDocument/2006/customXml" ds:itemID="{4eb225d0-4315-42e9-9a2d-ee7d674a384a}">
  <ds:schemaRefs/>
</ds:datastoreItem>
</file>

<file path=docProps/app.xml><?xml version="1.0" encoding="utf-8"?>
<Properties xmlns="http://schemas.openxmlformats.org/officeDocument/2006/extended-properties" xmlns:vt="http://schemas.openxmlformats.org/officeDocument/2006/docPropsVTypes">
  <Template>Normal</Template>
  <Pages>48</Pages>
  <Words>9969</Words>
  <Characters>10333</Characters>
  <Lines>140</Lines>
  <Paragraphs>39</Paragraphs>
  <TotalTime>5</TotalTime>
  <ScaleCrop>false</ScaleCrop>
  <LinksUpToDate>false</LinksUpToDate>
  <CharactersWithSpaces>10403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2026-09-16T07:39:00Z</dcterms:created>
  <dc:creator>十三</dc:creator>
  <cp:lastModifiedBy>吴亚利</cp:lastModifiedBy>
  <cp:lastPrinted>2026-02-24T08:56:00Z</cp:lastPrinted>
  <dcterms:modified xsi:type="dcterms:W3CDTF">2026-09-20T07:18:43Z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9ABDC0E7D0CA40EBA0F2FFC3BFA0BA08_13</vt:lpwstr>
  </property>
  <property fmtid="{D5CDD505-2E9C-101B-9397-08002B2CF9AE}" pid="4" name="KSOTemplateDocerSaveRecord">
    <vt:lpwstr>eyJoZGlkIjoiMjNlOTk1ZTllZGY2ZjZjYzAwNzI4NDg0N2Q0OGVmNmIiLCJ1c2VySWQiOiI0NDg5ODExNzgifQ==</vt:lpwstr>
  </property>
</Properties>
</file>